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04531" w14:textId="77777777" w:rsidR="00332364" w:rsidRPr="00332364" w:rsidRDefault="00332364" w:rsidP="00332364">
      <w:pPr>
        <w:pStyle w:val="Heading1"/>
        <w:spacing w:before="0"/>
      </w:pPr>
      <w:r w:rsidRPr="00332364">
        <w:t>Title I School Parent and Family Engagement Plan</w:t>
      </w:r>
    </w:p>
    <w:p w14:paraId="4F87C7EA" w14:textId="6BDA4545" w:rsidR="00332364" w:rsidRPr="00332364" w:rsidRDefault="00332364" w:rsidP="00332364">
      <w:pPr>
        <w:rPr>
          <w:b/>
          <w:bCs/>
        </w:rPr>
      </w:pPr>
      <w:r w:rsidRPr="00332364">
        <w:rPr>
          <w:b/>
          <w:bCs/>
        </w:rPr>
        <w:t>Date reviewed:</w:t>
      </w:r>
    </w:p>
    <w:p w14:paraId="41E8AB38" w14:textId="77777777" w:rsidR="00332364" w:rsidRPr="00332364" w:rsidRDefault="00332364" w:rsidP="00332364">
      <w:pPr>
        <w:pBdr>
          <w:top w:val="single" w:sz="4" w:space="1" w:color="auto"/>
          <w:left w:val="single" w:sz="4" w:space="4" w:color="auto"/>
          <w:bottom w:val="single" w:sz="4" w:space="1" w:color="auto"/>
          <w:right w:val="single" w:sz="4" w:space="4" w:color="auto"/>
        </w:pBdr>
        <w:shd w:val="clear" w:color="auto" w:fill="DBE5F1" w:themeFill="accent1" w:themeFillTint="33"/>
      </w:pPr>
      <w:bookmarkStart w:id="0" w:name="_Hlk7072948"/>
      <w:r w:rsidRPr="00332364">
        <w:t xml:space="preserve">Directions:  This template can be used when meeting with parents and family members annually to discuss the parent and family engagement policy at the school level. It is important to maintain agendas and sign-in sheets for compliance. Listed below are each of the parent and family engagement requirements under Section 1116 of </w:t>
      </w:r>
      <w:proofErr w:type="gramStart"/>
      <w:r w:rsidRPr="00332364">
        <w:t>the Every</w:t>
      </w:r>
      <w:proofErr w:type="gramEnd"/>
      <w:r w:rsidRPr="00332364">
        <w:t xml:space="preserve"> Student Succeeds Act. Please use the guiding questions that are highlighted in yellow to indicate what is done at your school to meet each of the requirements. This does not need board approval. </w:t>
      </w:r>
    </w:p>
    <w:bookmarkEnd w:id="0"/>
    <w:p w14:paraId="7CF4927F" w14:textId="77777777" w:rsidR="00332364" w:rsidRDefault="00332364" w:rsidP="00332364">
      <w:r w:rsidRPr="00332364">
        <w:t xml:space="preserve">The Title I Parent and Family Engagement section of </w:t>
      </w:r>
      <w:proofErr w:type="gramStart"/>
      <w:r w:rsidRPr="00332364">
        <w:t>the Every</w:t>
      </w:r>
      <w:proofErr w:type="gramEnd"/>
      <w:r w:rsidRPr="00332364">
        <w:t xml:space="preserve"> Student Succeeds Act (ESSA), Section 1116(b) requires each Title I school to develop a written parent and family engagement policy that describes the means for carrying out the requirements of Section 1116. The school must ensure that information related to school and parent programs, meetings and other activities are sent to the parents of Title I children in a format and in a language the parents can understand.  </w:t>
      </w:r>
    </w:p>
    <w:p w14:paraId="48177FEA" w14:textId="5BC3ADEF" w:rsidR="00332364" w:rsidRPr="00332364" w:rsidRDefault="00332364" w:rsidP="00332364">
      <w:r w:rsidRPr="00332364">
        <w:t>The policy must be:</w:t>
      </w:r>
    </w:p>
    <w:p w14:paraId="4892FF03" w14:textId="77777777" w:rsidR="00332364" w:rsidRPr="00332364" w:rsidRDefault="00332364" w:rsidP="00332364">
      <w:pPr>
        <w:pStyle w:val="ListParagraph"/>
        <w:numPr>
          <w:ilvl w:val="0"/>
          <w:numId w:val="12"/>
        </w:numPr>
      </w:pPr>
      <w:r w:rsidRPr="00332364">
        <w:t>developed jointly with and agreed upon by parents and family members of Title I children;</w:t>
      </w:r>
    </w:p>
    <w:p w14:paraId="4A4DE91C" w14:textId="77777777" w:rsidR="00332364" w:rsidRPr="00332364" w:rsidRDefault="00332364" w:rsidP="00332364">
      <w:pPr>
        <w:pStyle w:val="ListParagraph"/>
        <w:numPr>
          <w:ilvl w:val="0"/>
          <w:numId w:val="12"/>
        </w:numPr>
      </w:pPr>
      <w:r w:rsidRPr="00332364">
        <w:t>written in an understandable format and provided in a language parents can understand;</w:t>
      </w:r>
    </w:p>
    <w:p w14:paraId="29F4BAE7" w14:textId="77777777" w:rsidR="00332364" w:rsidRPr="00332364" w:rsidRDefault="00332364" w:rsidP="00332364">
      <w:pPr>
        <w:pStyle w:val="ListParagraph"/>
        <w:numPr>
          <w:ilvl w:val="0"/>
          <w:numId w:val="12"/>
        </w:numPr>
      </w:pPr>
      <w:r w:rsidRPr="00332364">
        <w:t xml:space="preserve">distributed to all parents and family members of Title I children; </w:t>
      </w:r>
    </w:p>
    <w:p w14:paraId="2CB300B1" w14:textId="77777777" w:rsidR="00332364" w:rsidRPr="00332364" w:rsidRDefault="00332364" w:rsidP="00332364">
      <w:pPr>
        <w:pStyle w:val="ListParagraph"/>
        <w:numPr>
          <w:ilvl w:val="0"/>
          <w:numId w:val="12"/>
        </w:numPr>
      </w:pPr>
      <w:r w:rsidRPr="00332364">
        <w:t xml:space="preserve">made available to the local community; and </w:t>
      </w:r>
    </w:p>
    <w:p w14:paraId="6A2E58CB" w14:textId="77777777" w:rsidR="00332364" w:rsidRPr="00332364" w:rsidRDefault="00332364" w:rsidP="00332364">
      <w:pPr>
        <w:pStyle w:val="ListParagraph"/>
        <w:numPr>
          <w:ilvl w:val="0"/>
          <w:numId w:val="12"/>
        </w:numPr>
      </w:pPr>
      <w:r w:rsidRPr="00332364">
        <w:t>updated annually to meet the changing needs of parents, family members, and the school.</w:t>
      </w:r>
    </w:p>
    <w:p w14:paraId="292013DB" w14:textId="77777777" w:rsidR="00332364" w:rsidRPr="00332364" w:rsidRDefault="00332364" w:rsidP="00332364">
      <w:pPr>
        <w:rPr>
          <w:i/>
          <w:iCs/>
        </w:rPr>
      </w:pPr>
      <w:r w:rsidRPr="00332364">
        <w:t xml:space="preserve">The policy describes how parents and family members will be involved in the planning, review, and improvement of the school's Parent and Family Engagement Policy </w:t>
      </w:r>
      <w:r w:rsidRPr="00332364">
        <w:rPr>
          <w:i/>
          <w:iCs/>
        </w:rPr>
        <w:t>(ESSA, Section 1116(b)(1)).</w:t>
      </w:r>
    </w:p>
    <w:p w14:paraId="65CCD5ED" w14:textId="77777777" w:rsidR="00332364" w:rsidRPr="00332364" w:rsidRDefault="00332364" w:rsidP="00332364">
      <w:pPr>
        <w:rPr>
          <w:b/>
          <w:bCs/>
        </w:rPr>
      </w:pPr>
      <w:r w:rsidRPr="00332364">
        <w:rPr>
          <w:b/>
          <w:bCs/>
        </w:rPr>
        <w:t>How will the school involve parents and family members in the development of the parent and family engagement policy?</w:t>
      </w:r>
    </w:p>
    <w:p w14:paraId="3D3A1CA0" w14:textId="77777777" w:rsidR="00332364" w:rsidRPr="00332364" w:rsidRDefault="00332364" w:rsidP="00332364">
      <w:r w:rsidRPr="00332364">
        <w:t xml:space="preserve">The policy states that the school will convene an annual meeting, at a convenient time; </w:t>
      </w:r>
    </w:p>
    <w:p w14:paraId="7968F9F7" w14:textId="77777777" w:rsidR="00332364" w:rsidRPr="00332364" w:rsidRDefault="00332364" w:rsidP="00332364">
      <w:pPr>
        <w:pStyle w:val="ListParagraph"/>
        <w:numPr>
          <w:ilvl w:val="0"/>
          <w:numId w:val="14"/>
        </w:numPr>
      </w:pPr>
      <w:r w:rsidRPr="00332364">
        <w:t>which all parents and family members of participating children shall be invited and encouraged to attend;</w:t>
      </w:r>
    </w:p>
    <w:p w14:paraId="4B4A82BF" w14:textId="77777777" w:rsidR="00332364" w:rsidRPr="00332364" w:rsidRDefault="00332364" w:rsidP="00332364">
      <w:pPr>
        <w:pStyle w:val="ListParagraph"/>
        <w:numPr>
          <w:ilvl w:val="0"/>
          <w:numId w:val="14"/>
        </w:numPr>
      </w:pPr>
      <w:r w:rsidRPr="00332364">
        <w:t xml:space="preserve">to inform parents of their schools’ participation as a Title I school; and </w:t>
      </w:r>
    </w:p>
    <w:p w14:paraId="41F4E2F2" w14:textId="0F7BB3DF" w:rsidR="00332364" w:rsidRPr="00332364" w:rsidRDefault="00332364" w:rsidP="00332364">
      <w:pPr>
        <w:pStyle w:val="ListParagraph"/>
        <w:numPr>
          <w:ilvl w:val="0"/>
          <w:numId w:val="14"/>
        </w:numPr>
        <w:rPr>
          <w:i/>
          <w:iCs/>
        </w:rPr>
      </w:pPr>
      <w:r w:rsidRPr="00332364">
        <w:t xml:space="preserve">to explain the requirements and the rights for parents to be involved </w:t>
      </w:r>
      <w:r w:rsidRPr="00332364">
        <w:rPr>
          <w:i/>
          <w:iCs/>
        </w:rPr>
        <w:t>(ESSA, Section 1116(c)(1)).</w:t>
      </w:r>
      <w:bookmarkStart w:id="1" w:name="_GoBack"/>
      <w:bookmarkEnd w:id="1"/>
    </w:p>
    <w:p w14:paraId="6AB32E9C" w14:textId="77777777" w:rsidR="00332364" w:rsidRPr="00332364" w:rsidRDefault="00332364" w:rsidP="00332364">
      <w:pPr>
        <w:rPr>
          <w:b/>
          <w:bCs/>
        </w:rPr>
      </w:pPr>
      <w:r w:rsidRPr="00332364">
        <w:rPr>
          <w:b/>
          <w:bCs/>
        </w:rPr>
        <w:t>How will the school meet with parents and family members annually?</w:t>
      </w:r>
    </w:p>
    <w:p w14:paraId="3D2559C0" w14:textId="77777777" w:rsidR="00332364" w:rsidRPr="00332364" w:rsidRDefault="00332364" w:rsidP="00332364">
      <w:r w:rsidRPr="00332364">
        <w:t xml:space="preserve">The policy states that the school will offer a flexible number of meetings in the morning and/or the </w:t>
      </w:r>
      <w:r w:rsidRPr="00332364">
        <w:rPr>
          <w:i/>
          <w:iCs/>
        </w:rPr>
        <w:t>evening (ESSA, Section 1116(c)(2)).</w:t>
      </w:r>
    </w:p>
    <w:p w14:paraId="200FB71F" w14:textId="77777777" w:rsidR="00332364" w:rsidRPr="00332364" w:rsidRDefault="00332364" w:rsidP="00332364">
      <w:pPr>
        <w:rPr>
          <w:b/>
          <w:bCs/>
        </w:rPr>
      </w:pPr>
      <w:r w:rsidRPr="00332364">
        <w:rPr>
          <w:b/>
          <w:bCs/>
        </w:rPr>
        <w:lastRenderedPageBreak/>
        <w:t>What meetings will be held at the school?</w:t>
      </w:r>
    </w:p>
    <w:p w14:paraId="534E0774" w14:textId="77777777" w:rsidR="00332364" w:rsidRPr="00332364" w:rsidRDefault="00332364" w:rsidP="00332364">
      <w:pPr>
        <w:rPr>
          <w:i/>
          <w:iCs/>
        </w:rPr>
      </w:pPr>
      <w:r w:rsidRPr="00332364">
        <w:t xml:space="preserve">The policy states that the school will involve parents, in an organized, ongoing, and timely way, in the planning, review, and improvement of the Title I program, including the planning, review, and improvement of the school’s parent and family engagement program </w:t>
      </w:r>
      <w:r w:rsidRPr="00332364">
        <w:rPr>
          <w:i/>
          <w:iCs/>
        </w:rPr>
        <w:t>(ESSA, Section 1116(c)(3)).</w:t>
      </w:r>
    </w:p>
    <w:p w14:paraId="7380BDFC" w14:textId="77777777" w:rsidR="00332364" w:rsidRPr="00332364" w:rsidRDefault="00332364" w:rsidP="00332364">
      <w:r w:rsidRPr="00332364">
        <w:t xml:space="preserve">The policy describes how the school will provide parents of participating children with timely information about the Title I program </w:t>
      </w:r>
      <w:r w:rsidRPr="00332364">
        <w:rPr>
          <w:i/>
          <w:iCs/>
        </w:rPr>
        <w:t>(ESSA, Section 1116(c)(4)(A)).</w:t>
      </w:r>
    </w:p>
    <w:p w14:paraId="441B7438" w14:textId="77777777" w:rsidR="00332364" w:rsidRPr="00332364" w:rsidRDefault="00332364" w:rsidP="00332364">
      <w:pPr>
        <w:rPr>
          <w:b/>
          <w:bCs/>
        </w:rPr>
      </w:pPr>
      <w:r w:rsidRPr="00332364">
        <w:rPr>
          <w:b/>
          <w:bCs/>
        </w:rPr>
        <w:t>How will the school inform parents and family members about the Title I program?</w:t>
      </w:r>
    </w:p>
    <w:p w14:paraId="628D9E1E" w14:textId="77777777" w:rsidR="00332364" w:rsidRPr="00332364" w:rsidRDefault="00332364" w:rsidP="00332364">
      <w:r w:rsidRPr="00332364">
        <w:t xml:space="preserve">The policy describes how the school will provide parents of participating children with a description and explanation of the curriculum in use at the school, the forms of academic assessments used to measure student progress, and the achievement levels of the challenging state academic standards </w:t>
      </w:r>
      <w:r w:rsidRPr="00332364">
        <w:rPr>
          <w:i/>
          <w:iCs/>
        </w:rPr>
        <w:t>(ESSA, Section 1116(c)4)(B)).</w:t>
      </w:r>
    </w:p>
    <w:p w14:paraId="5503E2D5" w14:textId="77777777" w:rsidR="00332364" w:rsidRPr="00332364" w:rsidRDefault="00332364" w:rsidP="00332364">
      <w:pPr>
        <w:rPr>
          <w:b/>
          <w:bCs/>
        </w:rPr>
      </w:pPr>
      <w:r w:rsidRPr="00332364">
        <w:rPr>
          <w:b/>
          <w:bCs/>
        </w:rPr>
        <w:t>How will the school explain the curriculum, state standards, and assessments?</w:t>
      </w:r>
    </w:p>
    <w:p w14:paraId="5A18C90D" w14:textId="77777777" w:rsidR="00332364" w:rsidRPr="00332364" w:rsidRDefault="00332364" w:rsidP="00332364">
      <w:r w:rsidRPr="00332364">
        <w:t xml:space="preserve">The policy states that the school will provide, if requested by parents, opportunities for regular meetings to formulate suggestions and to participate, as appropriate, in decisions relating to the education of their children, and respond to any such suggestions as soon as practicably possible </w:t>
      </w:r>
      <w:r w:rsidRPr="00332364">
        <w:rPr>
          <w:i/>
          <w:iCs/>
        </w:rPr>
        <w:t>(ESSA, Section 1116(c)(4)(C)).</w:t>
      </w:r>
    </w:p>
    <w:p w14:paraId="246B7E8E" w14:textId="77777777" w:rsidR="00332364" w:rsidRPr="00332364" w:rsidRDefault="00332364" w:rsidP="00332364">
      <w:pPr>
        <w:rPr>
          <w:b/>
          <w:bCs/>
        </w:rPr>
      </w:pPr>
      <w:r w:rsidRPr="00332364">
        <w:rPr>
          <w:b/>
          <w:bCs/>
        </w:rPr>
        <w:t>How will the school accommodate meeting requests?</w:t>
      </w:r>
    </w:p>
    <w:p w14:paraId="782C5372" w14:textId="77777777" w:rsidR="00332364" w:rsidRPr="00332364" w:rsidRDefault="00332364" w:rsidP="00332364">
      <w:r w:rsidRPr="00332364">
        <w:t xml:space="preserve">The policy states how the school will involve parents and family members in the joint development of the Schoolwide Program Plan under Section 1114 per ESSA </w:t>
      </w:r>
      <w:r w:rsidRPr="00332364">
        <w:rPr>
          <w:i/>
          <w:iCs/>
        </w:rPr>
        <w:t>(ESSA, Section 1116(5))</w:t>
      </w:r>
      <w:r w:rsidRPr="00332364">
        <w:t>. Applies only to Title I schools operating a Schoolwide Program.</w:t>
      </w:r>
    </w:p>
    <w:p w14:paraId="6E02029B" w14:textId="77777777" w:rsidR="00332364" w:rsidRPr="00332364" w:rsidRDefault="00332364" w:rsidP="00332364">
      <w:pPr>
        <w:rPr>
          <w:b/>
          <w:bCs/>
        </w:rPr>
      </w:pPr>
      <w:r w:rsidRPr="00332364">
        <w:rPr>
          <w:b/>
          <w:bCs/>
        </w:rPr>
        <w:t>If applicable, how will the school meet with parents and family members to develop and discuss the Schoolwide Plan?</w:t>
      </w:r>
    </w:p>
    <w:p w14:paraId="3168F1F6" w14:textId="77777777" w:rsidR="00332364" w:rsidRPr="00332364" w:rsidRDefault="00332364" w:rsidP="00332364">
      <w:r w:rsidRPr="00332364">
        <w:t xml:space="preserve">The policy states that a school-parent compact will be jointly developed with parents and family members. The compact outlines how parents, the entire school staff, and students will share in the responsibility for improved student academic achievement and the means by which the school and the parents will build and develop partnerships to help children achieve the state’s high standards. The compact shall: </w:t>
      </w:r>
    </w:p>
    <w:p w14:paraId="22173440" w14:textId="77777777" w:rsidR="00332364" w:rsidRPr="00332364" w:rsidRDefault="00332364" w:rsidP="00332364">
      <w:pPr>
        <w:pStyle w:val="ListParagraph"/>
        <w:numPr>
          <w:ilvl w:val="0"/>
          <w:numId w:val="15"/>
        </w:numPr>
      </w:pPr>
      <w:r w:rsidRPr="00332364">
        <w:t xml:space="preserve">describe the school’s responsibility to provide high-quality curriculum and instruction in a supportive and effective learning environment that enables the children served under this part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w:t>
      </w:r>
      <w:r w:rsidRPr="00332364">
        <w:rPr>
          <w:i/>
          <w:iCs/>
        </w:rPr>
        <w:t>(ESSA, Section (d)(1));</w:t>
      </w:r>
    </w:p>
    <w:p w14:paraId="6F3C3278" w14:textId="77777777" w:rsidR="00332364" w:rsidRPr="00332364" w:rsidRDefault="00332364" w:rsidP="00332364">
      <w:pPr>
        <w:pStyle w:val="ListParagraph"/>
        <w:numPr>
          <w:ilvl w:val="0"/>
          <w:numId w:val="15"/>
        </w:numPr>
      </w:pPr>
      <w:r w:rsidRPr="00332364">
        <w:t xml:space="preserve">address the importance of communication between teachers and parents on an ongoing basis through, at a minimum: </w:t>
      </w:r>
    </w:p>
    <w:p w14:paraId="736920C6" w14:textId="77777777" w:rsidR="00332364" w:rsidRPr="00332364" w:rsidRDefault="00332364" w:rsidP="00332364">
      <w:pPr>
        <w:pStyle w:val="ListParagraph"/>
        <w:numPr>
          <w:ilvl w:val="0"/>
          <w:numId w:val="15"/>
        </w:numPr>
      </w:pPr>
      <w:r w:rsidRPr="00332364">
        <w:lastRenderedPageBreak/>
        <w:t xml:space="preserve">parent-teacher conferences in elementary schools, at least annually, during which the compact shall be discussed as the compact relates to the individual child’s achievement; </w:t>
      </w:r>
    </w:p>
    <w:p w14:paraId="231B3D73" w14:textId="77777777" w:rsidR="00332364" w:rsidRPr="00332364" w:rsidRDefault="00332364" w:rsidP="00332364">
      <w:pPr>
        <w:pStyle w:val="ListParagraph"/>
        <w:numPr>
          <w:ilvl w:val="0"/>
          <w:numId w:val="15"/>
        </w:numPr>
      </w:pPr>
      <w:r w:rsidRPr="00332364">
        <w:t xml:space="preserve">frequent reports to parents on their children’s progress; </w:t>
      </w:r>
    </w:p>
    <w:p w14:paraId="67111F72" w14:textId="77777777" w:rsidR="00332364" w:rsidRPr="00332364" w:rsidRDefault="00332364" w:rsidP="00332364">
      <w:pPr>
        <w:pStyle w:val="ListParagraph"/>
        <w:numPr>
          <w:ilvl w:val="0"/>
          <w:numId w:val="15"/>
        </w:numPr>
      </w:pPr>
      <w:r w:rsidRPr="00332364">
        <w:t xml:space="preserve">reasonable access to staff, opportunities to volunteer and participate in their child’s class, and observation of classroom activities; and ensuring regular two-way, meaningful communication between family members and school staff, and, to the extent practicable, in a language that family members can understand </w:t>
      </w:r>
      <w:r w:rsidRPr="00332364">
        <w:rPr>
          <w:i/>
          <w:iCs/>
        </w:rPr>
        <w:t>(ESSA, Section 1116(d)(2)(A-D)).</w:t>
      </w:r>
    </w:p>
    <w:p w14:paraId="190F4A6A" w14:textId="77777777" w:rsidR="00332364" w:rsidRPr="00332364" w:rsidRDefault="00332364" w:rsidP="00332364">
      <w:pPr>
        <w:rPr>
          <w:b/>
          <w:bCs/>
        </w:rPr>
      </w:pPr>
      <w:r w:rsidRPr="00332364">
        <w:rPr>
          <w:b/>
          <w:bCs/>
        </w:rPr>
        <w:t>How will the school involve parents and family members in the development of the school-parent compact?</w:t>
      </w:r>
    </w:p>
    <w:p w14:paraId="62FC0630" w14:textId="77777777" w:rsidR="00332364" w:rsidRPr="00332364" w:rsidRDefault="00332364" w:rsidP="00332364">
      <w:bookmarkStart w:id="2" w:name="_Hlk7005494"/>
      <w:r w:rsidRPr="00332364">
        <w:t xml:space="preserve">The policy states how the school will provide assistance to parents and family members in understanding the challenging state academic standards, state and local academic assessments, and how to monitor a child's progress and work with teachers to improve the achievement of their children </w:t>
      </w:r>
      <w:r w:rsidRPr="00332364">
        <w:rPr>
          <w:i/>
          <w:iCs/>
        </w:rPr>
        <w:t>(ESSA, Section 1116(6)(e)(1)).</w:t>
      </w:r>
    </w:p>
    <w:p w14:paraId="2DC3254B" w14:textId="77777777" w:rsidR="00332364" w:rsidRPr="00332364" w:rsidRDefault="00332364" w:rsidP="00332364">
      <w:r w:rsidRPr="00332364">
        <w:t xml:space="preserve">The policy states how the school will provide materials and training to help parents work with their children to improve their children's achievement, such as literacy training and using technology, including education about the harms of copyright piracy, as appropriate, to foster parent involvement </w:t>
      </w:r>
      <w:r w:rsidRPr="00332364">
        <w:rPr>
          <w:i/>
          <w:iCs/>
        </w:rPr>
        <w:t>(ESSA, Section 1116(6)(e)(1)).</w:t>
      </w:r>
    </w:p>
    <w:p w14:paraId="200319D7" w14:textId="77777777" w:rsidR="00332364" w:rsidRPr="00332364" w:rsidRDefault="00332364" w:rsidP="00332364">
      <w:pPr>
        <w:rPr>
          <w:b/>
          <w:bCs/>
        </w:rPr>
      </w:pPr>
      <w:r w:rsidRPr="00332364">
        <w:rPr>
          <w:b/>
          <w:bCs/>
        </w:rPr>
        <w:t>How will the school provide training materials to parents and family members?</w:t>
      </w:r>
    </w:p>
    <w:p w14:paraId="3C843466" w14:textId="77777777" w:rsidR="00332364" w:rsidRPr="00332364" w:rsidRDefault="00332364" w:rsidP="00332364">
      <w:r w:rsidRPr="00332364">
        <w:t xml:space="preserve">The policy states how the school will educate teachers, specialized instructional support personnel, and other staff, with the assistance of parents, in the value and utility of contributions of parents and family members, and in how to reach out to, communicate with, and work with parents and family members as equal partners, implement and coordinate parent programs, and build ties between parents and family members and the school </w:t>
      </w:r>
      <w:r w:rsidRPr="00332364">
        <w:rPr>
          <w:i/>
          <w:iCs/>
        </w:rPr>
        <w:t>(ESSA, Section 1116(6)(e)(3)).</w:t>
      </w:r>
    </w:p>
    <w:p w14:paraId="0B5F53F8" w14:textId="77777777" w:rsidR="00332364" w:rsidRPr="00332364" w:rsidRDefault="00332364" w:rsidP="00332364">
      <w:pPr>
        <w:rPr>
          <w:b/>
          <w:bCs/>
        </w:rPr>
      </w:pPr>
      <w:r w:rsidRPr="00332364">
        <w:rPr>
          <w:b/>
          <w:bCs/>
        </w:rPr>
        <w:t>How will the school use parents to train staff on how to work with parents as equal partners?</w:t>
      </w:r>
    </w:p>
    <w:p w14:paraId="216EC135" w14:textId="77777777" w:rsidR="00332364" w:rsidRPr="00332364" w:rsidRDefault="00332364" w:rsidP="00332364">
      <w:r w:rsidRPr="00332364">
        <w:t xml:space="preserve">The policy states how the school will, to the extent feasible and appropriate, coordinate and integrate parent involvement programs and activities with other federal, state, and local programs, including public preschool programs, and conduct other activities that encourage and support parents and family members in more fully participating in the education of their children </w:t>
      </w:r>
      <w:r w:rsidRPr="00332364">
        <w:rPr>
          <w:i/>
          <w:iCs/>
        </w:rPr>
        <w:t>(ESSA, Section 1116(6)(e)(4)).</w:t>
      </w:r>
    </w:p>
    <w:p w14:paraId="0A413D42" w14:textId="77777777" w:rsidR="00332364" w:rsidRPr="00332364" w:rsidRDefault="00332364" w:rsidP="00332364">
      <w:pPr>
        <w:rPr>
          <w:b/>
          <w:bCs/>
        </w:rPr>
      </w:pPr>
      <w:r w:rsidRPr="00332364">
        <w:rPr>
          <w:b/>
          <w:bCs/>
        </w:rPr>
        <w:t>How will the school coordinate with other federal, state, and local programs to include public preschool programs?</w:t>
      </w:r>
    </w:p>
    <w:p w14:paraId="0710330A" w14:textId="77777777" w:rsidR="00332364" w:rsidRPr="00332364" w:rsidRDefault="00332364" w:rsidP="00332364">
      <w:r w:rsidRPr="00332364">
        <w:t xml:space="preserve">The policy states how the school will ensure that information related to school and parent programs, meetings, and other activities is sent to the parents and family members of participating children in a format and to the extent practicable, in a language the parents and family members can understand </w:t>
      </w:r>
      <w:r w:rsidRPr="00332364">
        <w:rPr>
          <w:i/>
          <w:iCs/>
        </w:rPr>
        <w:t>(ESSA, Section 1116(6)(e)(5)).</w:t>
      </w:r>
    </w:p>
    <w:p w14:paraId="1B247F16" w14:textId="77777777" w:rsidR="00332364" w:rsidRPr="00332364" w:rsidRDefault="00332364" w:rsidP="00332364">
      <w:pPr>
        <w:rPr>
          <w:b/>
          <w:bCs/>
        </w:rPr>
      </w:pPr>
      <w:r w:rsidRPr="00332364">
        <w:rPr>
          <w:b/>
          <w:bCs/>
        </w:rPr>
        <w:lastRenderedPageBreak/>
        <w:t>How will the school ensure information is in a language parents can understand? This should include how documents are translated.</w:t>
      </w:r>
    </w:p>
    <w:p w14:paraId="52ABE1D5" w14:textId="77777777" w:rsidR="00332364" w:rsidRPr="00332364" w:rsidRDefault="00332364" w:rsidP="00332364">
      <w:r w:rsidRPr="00332364">
        <w:t xml:space="preserve">The policy states how the school, to the extent practicable, will provide opportunities for the informed participation of parents and family members (including parents and family members who have limited English proficiency, parents and family members with disabilities, and parents and family members of migratory children) </w:t>
      </w:r>
      <w:r w:rsidRPr="00332364">
        <w:rPr>
          <w:i/>
          <w:iCs/>
        </w:rPr>
        <w:t>(ESSA, Section 1116(7)(f)).</w:t>
      </w:r>
      <w:bookmarkEnd w:id="2"/>
    </w:p>
    <w:p w14:paraId="4F64D076" w14:textId="77777777" w:rsidR="00332364" w:rsidRPr="00332364" w:rsidRDefault="00332364" w:rsidP="00332364">
      <w:pPr>
        <w:rPr>
          <w:b/>
          <w:bCs/>
          <w:color w:val="FF0000"/>
        </w:rPr>
      </w:pPr>
      <w:r w:rsidRPr="00332364">
        <w:rPr>
          <w:b/>
          <w:bCs/>
          <w:color w:val="FF0000"/>
          <w:highlight w:val="yellow"/>
        </w:rPr>
        <w:t>How will the school include parents and family members of English Learners?</w:t>
      </w:r>
    </w:p>
    <w:p w14:paraId="699E102A" w14:textId="77777777" w:rsidR="00332364" w:rsidRPr="00332364" w:rsidRDefault="00332364" w:rsidP="00332364">
      <w:pPr>
        <w:rPr>
          <w:b/>
          <w:bCs/>
          <w:color w:val="FF0000"/>
        </w:rPr>
      </w:pPr>
      <w:r w:rsidRPr="00332364">
        <w:rPr>
          <w:b/>
          <w:bCs/>
          <w:color w:val="FF0000"/>
        </w:rPr>
        <w:t>(ADD RESPONSE HERE)</w:t>
      </w:r>
    </w:p>
    <w:p w14:paraId="3B99AAC8" w14:textId="67FD45F6" w:rsidR="005A2DBD" w:rsidRPr="00332364" w:rsidRDefault="005A2DBD" w:rsidP="00332364"/>
    <w:sectPr w:rsidR="005A2DBD" w:rsidRPr="00332364" w:rsidSect="00D9128E">
      <w:footerReference w:type="default" r:id="rId11"/>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954AE" w14:textId="77777777" w:rsidR="00FD5B5B" w:rsidRDefault="00FD5B5B" w:rsidP="009D7A33">
      <w:pPr>
        <w:spacing w:after="0"/>
      </w:pPr>
      <w:r>
        <w:separator/>
      </w:r>
    </w:p>
  </w:endnote>
  <w:endnote w:type="continuationSeparator" w:id="0">
    <w:p w14:paraId="37D9256D" w14:textId="77777777" w:rsidR="00FD5B5B" w:rsidRDefault="00FD5B5B"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106E34C6" w:rsidR="00940266" w:rsidRPr="009B1F1C" w:rsidRDefault="003721AF" w:rsidP="00A176F1">
    <w:pPr>
      <w:pStyle w:val="Footer"/>
      <w:pageBreakBefore/>
      <w:rPr>
        <w:rFonts w:cs="Arial"/>
        <w:color w:val="000000" w:themeColor="text1"/>
        <w:szCs w:val="24"/>
      </w:rPr>
    </w:pPr>
    <w:r>
      <w:rPr>
        <w:rFonts w:cs="Arial"/>
        <w:color w:val="000000" w:themeColor="text1"/>
        <w:szCs w:val="24"/>
      </w:rPr>
      <w:t>June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76CD" w14:textId="77777777" w:rsidR="00FD5B5B" w:rsidRDefault="00FD5B5B" w:rsidP="009D7A33">
      <w:pPr>
        <w:spacing w:after="0"/>
      </w:pPr>
      <w:r>
        <w:separator/>
      </w:r>
    </w:p>
  </w:footnote>
  <w:footnote w:type="continuationSeparator" w:id="0">
    <w:p w14:paraId="0DDEDFFE" w14:textId="77777777" w:rsidR="00FD5B5B" w:rsidRDefault="00FD5B5B"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5FA"/>
    <w:multiLevelType w:val="hybridMultilevel"/>
    <w:tmpl w:val="F06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A5FC0"/>
    <w:multiLevelType w:val="hybridMultilevel"/>
    <w:tmpl w:val="2A2070E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D0EA1"/>
    <w:multiLevelType w:val="hybridMultilevel"/>
    <w:tmpl w:val="C0E0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F1648"/>
    <w:multiLevelType w:val="hybridMultilevel"/>
    <w:tmpl w:val="FBFCBDB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F14E6"/>
    <w:multiLevelType w:val="hybridMultilevel"/>
    <w:tmpl w:val="E222AD0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D7FB1"/>
    <w:multiLevelType w:val="hybridMultilevel"/>
    <w:tmpl w:val="A0EAD346"/>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2E1478AD"/>
    <w:multiLevelType w:val="hybridMultilevel"/>
    <w:tmpl w:val="A2AAD8E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63F2"/>
    <w:multiLevelType w:val="hybridMultilevel"/>
    <w:tmpl w:val="1C6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63FAA"/>
    <w:multiLevelType w:val="hybridMultilevel"/>
    <w:tmpl w:val="D9C0352C"/>
    <w:lvl w:ilvl="0" w:tplc="6AC8141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E7A50"/>
    <w:multiLevelType w:val="hybridMultilevel"/>
    <w:tmpl w:val="2C02CDD0"/>
    <w:lvl w:ilvl="0" w:tplc="3E0E1D4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90602"/>
    <w:multiLevelType w:val="hybridMultilevel"/>
    <w:tmpl w:val="6FC8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12"/>
  </w:num>
  <w:num w:numId="6">
    <w:abstractNumId w:val="13"/>
  </w:num>
  <w:num w:numId="7">
    <w:abstractNumId w:val="2"/>
  </w:num>
  <w:num w:numId="8">
    <w:abstractNumId w:val="14"/>
  </w:num>
  <w:num w:numId="9">
    <w:abstractNumId w:val="11"/>
  </w:num>
  <w:num w:numId="10">
    <w:abstractNumId w:val="6"/>
  </w:num>
  <w:num w:numId="11">
    <w:abstractNumId w:val="9"/>
  </w:num>
  <w:num w:numId="12">
    <w:abstractNumId w:val="10"/>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69DE"/>
    <w:rsid w:val="000F2B8C"/>
    <w:rsid w:val="001A13EC"/>
    <w:rsid w:val="001B7466"/>
    <w:rsid w:val="00296BAA"/>
    <w:rsid w:val="002C636F"/>
    <w:rsid w:val="002E5A2A"/>
    <w:rsid w:val="00315494"/>
    <w:rsid w:val="00332364"/>
    <w:rsid w:val="00363243"/>
    <w:rsid w:val="003721AF"/>
    <w:rsid w:val="003752CD"/>
    <w:rsid w:val="003A199B"/>
    <w:rsid w:val="00410447"/>
    <w:rsid w:val="004649D9"/>
    <w:rsid w:val="00474643"/>
    <w:rsid w:val="00481B03"/>
    <w:rsid w:val="004B39D4"/>
    <w:rsid w:val="004E3A26"/>
    <w:rsid w:val="00501AD4"/>
    <w:rsid w:val="00570A06"/>
    <w:rsid w:val="00580829"/>
    <w:rsid w:val="00593B01"/>
    <w:rsid w:val="005A2DBD"/>
    <w:rsid w:val="005B4C1E"/>
    <w:rsid w:val="005E769B"/>
    <w:rsid w:val="006A0826"/>
    <w:rsid w:val="006A13D0"/>
    <w:rsid w:val="00722A68"/>
    <w:rsid w:val="007342AF"/>
    <w:rsid w:val="007D122D"/>
    <w:rsid w:val="007E2836"/>
    <w:rsid w:val="00844D32"/>
    <w:rsid w:val="00872291"/>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D03D7B"/>
    <w:rsid w:val="00D601DF"/>
    <w:rsid w:val="00D60680"/>
    <w:rsid w:val="00D9128E"/>
    <w:rsid w:val="00DA7C2F"/>
    <w:rsid w:val="00E07C9D"/>
    <w:rsid w:val="00E12E63"/>
    <w:rsid w:val="00E26932"/>
    <w:rsid w:val="00E82F65"/>
    <w:rsid w:val="00EB2FDB"/>
    <w:rsid w:val="00EC1161"/>
    <w:rsid w:val="00EC60AE"/>
    <w:rsid w:val="00FD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2.xml><?xml version="1.0" encoding="utf-8"?>
<ds:datastoreItem xmlns:ds="http://schemas.openxmlformats.org/officeDocument/2006/customXml" ds:itemID="{5BE83A16-EEF4-414C-9696-1D5421992AF8}"/>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817997F3-F1EC-4FE4-A1E7-2C7514EC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School Parent and Family Engagement Plan Template II</dc:title>
  <dc:creator>P Department of Education</dc:creator>
  <cp:lastModifiedBy>Henry, Rachel</cp:lastModifiedBy>
  <cp:revision>2</cp:revision>
  <cp:lastPrinted>2012-11-14T22:49:00Z</cp:lastPrinted>
  <dcterms:created xsi:type="dcterms:W3CDTF">2019-06-25T13:40:00Z</dcterms:created>
  <dcterms:modified xsi:type="dcterms:W3CDTF">2019-06-25T13:40:00Z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