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9155" w14:textId="0E40A6BE" w:rsidR="00B33581" w:rsidRDefault="00B33581" w:rsidP="00B54560">
      <w:pPr>
        <w:jc w:val="center"/>
        <w:rPr>
          <w:rFonts w:ascii="Times New Roman" w:hAnsi="Times New Roman" w:cs="Times New Roman"/>
          <w:b/>
          <w:bCs/>
          <w:sz w:val="32"/>
          <w:szCs w:val="32"/>
        </w:rPr>
      </w:pPr>
      <w:r>
        <w:rPr>
          <w:rFonts w:ascii="Times New Roman" w:hAnsi="Times New Roman" w:cs="Times New Roman"/>
          <w:b/>
          <w:bCs/>
          <w:noProof/>
          <w:sz w:val="32"/>
          <w:szCs w:val="32"/>
        </w:rPr>
        <w:drawing>
          <wp:inline distT="0" distB="0" distL="0" distR="0" wp14:anchorId="61497E5B" wp14:editId="4BD2EFC1">
            <wp:extent cx="2908044" cy="688908"/>
            <wp:effectExtent l="0" t="0" r="6985" b="0"/>
            <wp:docPr id="3113565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356530"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908044" cy="688908"/>
                    </a:xfrm>
                    <a:prstGeom prst="rect">
                      <a:avLst/>
                    </a:prstGeom>
                  </pic:spPr>
                </pic:pic>
              </a:graphicData>
            </a:graphic>
          </wp:inline>
        </w:drawing>
      </w:r>
    </w:p>
    <w:p w14:paraId="28BACBC2" w14:textId="15B9BE00" w:rsidR="00B54560" w:rsidRPr="00B33581" w:rsidRDefault="00B54560" w:rsidP="00B33581">
      <w:pPr>
        <w:pStyle w:val="Title"/>
        <w:jc w:val="center"/>
      </w:pPr>
      <w:r w:rsidRPr="00B33581">
        <w:t>Nita M. Lowey 21st CCLC Community Learning Centers:</w:t>
      </w:r>
      <w:r w:rsidR="00B33581" w:rsidRPr="00B33581">
        <w:t xml:space="preserve"> </w:t>
      </w:r>
      <w:r w:rsidRPr="00B33581">
        <w:t>Multi-Year Program Design and Performance</w:t>
      </w:r>
    </w:p>
    <w:p w14:paraId="0862E56E" w14:textId="77777777" w:rsidR="00B54560" w:rsidRDefault="00B54560" w:rsidP="00B33581">
      <w:pPr>
        <w:rPr>
          <w:rFonts w:eastAsia="Times New Roman"/>
        </w:rPr>
      </w:pPr>
      <w:r w:rsidRPr="005A6A51">
        <w:rPr>
          <w:rFonts w:eastAsia="Times New Roman"/>
        </w:rPr>
        <w:t>All Pennsylvania 21st CCLC programs are expected to address the federally defined Government Performance and Results Act (GPRA) measures.  Grantees must establish local performance indicators, or objectives, that are aligned with the GPRA measures that apply to the grade levels the applicant proposes to serve. Specific performance targets (counts or percentages of students achieving the outcome) should be established by considering the applicant’s needs assessment and baseline student performance.  Performance targets or objectives should be challenging but also achievable.  Program monitoring, end-of-year reporting, and future funding will focus on improving performance from year</w:t>
      </w:r>
      <w:r>
        <w:rPr>
          <w:rFonts w:eastAsia="Times New Roman"/>
        </w:rPr>
        <w:t xml:space="preserve"> </w:t>
      </w:r>
      <w:r w:rsidRPr="005A6A51">
        <w:rPr>
          <w:rFonts w:eastAsia="Times New Roman"/>
        </w:rPr>
        <w:t>to</w:t>
      </w:r>
      <w:r>
        <w:rPr>
          <w:rFonts w:eastAsia="Times New Roman"/>
        </w:rPr>
        <w:t xml:space="preserve"> </w:t>
      </w:r>
      <w:r w:rsidRPr="005A6A51">
        <w:rPr>
          <w:rFonts w:eastAsia="Times New Roman"/>
        </w:rPr>
        <w:t>year on these measures</w:t>
      </w:r>
      <w:r>
        <w:rPr>
          <w:rFonts w:eastAsia="Times New Roman"/>
        </w:rPr>
        <w:t xml:space="preserve">. Grantees are obligated to set indicators and targets for those GPRA and state measures that apply to the grade levels the applicant proposes to serve.  Grantees may identify additional outcome measures or special interest areas to examine through their local evaluation; however, performance measurement will focus on the five GPRA measures and one state measure listed here.  Performance elements should reflect annual growth.  In other words, the performance targets selected will apply each year of the grant.  However, the applicant has the option of setting different targets for each year of the grant if that makes sense given the applicant’s needs assessment. </w:t>
      </w:r>
    </w:p>
    <w:p w14:paraId="3F9BE103" w14:textId="77777777" w:rsidR="00B54560" w:rsidRPr="007A7B75" w:rsidRDefault="00B54560" w:rsidP="00B33581">
      <w:pPr>
        <w:rPr>
          <w:rFonts w:eastAsia="Times New Roman"/>
        </w:rPr>
      </w:pPr>
      <w:r w:rsidRPr="007A7B75">
        <w:rPr>
          <w:rFonts w:eastAsia="Times New Roman"/>
        </w:rPr>
        <w:t>If grade levels are not specified for a measure, ‘elementary’ means preschool through grade 5, ‘middle school’ means grades 6-8, and ‘high school’ means grades 9-12, in alignment with federal reporting structures.</w:t>
      </w:r>
      <w:r w:rsidRPr="007A7B75">
        <w:t xml:space="preserve"> </w:t>
      </w:r>
      <w:r w:rsidRPr="007A7B75">
        <w:rPr>
          <w:rFonts w:eastAsia="Times New Roman"/>
        </w:rPr>
        <w:t>This means that an applicant’s grade/building distribution may differ from their grade category for reporting.</w:t>
      </w:r>
    </w:p>
    <w:p w14:paraId="4D6C0588" w14:textId="77777777" w:rsidR="00B54560" w:rsidRDefault="00B54560" w:rsidP="00B54560">
      <w:pPr>
        <w:spacing w:after="0" w:line="240" w:lineRule="auto"/>
        <w:rPr>
          <w:rFonts w:ascii="Times New Roman" w:eastAsia="Times New Roman" w:hAnsi="Times New Roman" w:cs="Times New Roman"/>
          <w:sz w:val="24"/>
          <w:szCs w:val="24"/>
        </w:rPr>
      </w:pPr>
    </w:p>
    <w:p w14:paraId="441CFE75" w14:textId="77777777" w:rsidR="00B54560" w:rsidRPr="005A6A51" w:rsidRDefault="00B54560" w:rsidP="00B33581">
      <w:pPr>
        <w:rPr>
          <w:rFonts w:eastAsia="Times New Roman"/>
        </w:rPr>
      </w:pPr>
      <w:r>
        <w:rPr>
          <w:rFonts w:eastAsia="Times New Roman"/>
        </w:rPr>
        <w:t>If the applicant does not serve grades specified in the indicators that follow, enter NA in the row.</w:t>
      </w:r>
    </w:p>
    <w:p w14:paraId="5E129175" w14:textId="77777777" w:rsidR="00B54560" w:rsidRPr="00CF6854" w:rsidRDefault="00B54560" w:rsidP="00B54560">
      <w:pPr>
        <w:rPr>
          <w:rFonts w:ascii="Times New Roman" w:hAnsi="Times New Roman" w:cs="Times New Roman"/>
        </w:rPr>
      </w:pPr>
    </w:p>
    <w:p w14:paraId="4E4D83F0" w14:textId="77777777" w:rsidR="00B33581" w:rsidRPr="00B33581" w:rsidRDefault="00B33581" w:rsidP="00B33581">
      <w:pPr>
        <w:rPr>
          <w:b/>
          <w:bCs/>
        </w:rPr>
      </w:pPr>
      <w:r w:rsidRPr="00B33581">
        <w:rPr>
          <w:b/>
          <w:bCs/>
        </w:rPr>
        <w:t>Applicant Agency:</w:t>
      </w:r>
    </w:p>
    <w:p w14:paraId="09630B86" w14:textId="77777777" w:rsidR="00B54560" w:rsidRPr="00CF6854" w:rsidRDefault="00B54560" w:rsidP="00B54560">
      <w:pPr>
        <w:rPr>
          <w:rFonts w:ascii="Times New Roman" w:hAnsi="Times New Roman" w:cs="Times New Roman"/>
          <w:b/>
          <w:bCs/>
          <w:sz w:val="24"/>
          <w:szCs w:val="24"/>
        </w:rPr>
      </w:pPr>
    </w:p>
    <w:p w14:paraId="2A5555B9" w14:textId="77777777" w:rsidR="00B54560" w:rsidRPr="00CF6854" w:rsidRDefault="00B54560" w:rsidP="00B54560">
      <w:pPr>
        <w:rPr>
          <w:rFonts w:ascii="Times New Roman" w:hAnsi="Times New Roman" w:cs="Times New Roman"/>
          <w:b/>
          <w:bCs/>
          <w:sz w:val="24"/>
          <w:szCs w:val="24"/>
        </w:rPr>
      </w:pPr>
    </w:p>
    <w:p w14:paraId="4585E56A" w14:textId="77777777" w:rsidR="00946764" w:rsidRDefault="00946764" w:rsidP="00B54560">
      <w:pPr>
        <w:rPr>
          <w:rFonts w:ascii="Times New Roman" w:hAnsi="Times New Roman" w:cs="Times New Roman"/>
        </w:rPr>
        <w:sectPr w:rsidR="00946764" w:rsidSect="00B33581">
          <w:pgSz w:w="12240" w:h="15840"/>
          <w:pgMar w:top="720" w:right="720" w:bottom="720" w:left="720" w:header="720" w:footer="720" w:gutter="0"/>
          <w:cols w:space="720"/>
          <w:docGrid w:linePitch="360"/>
        </w:sectPr>
      </w:pPr>
    </w:p>
    <w:p w14:paraId="0A2CF389" w14:textId="53A01695" w:rsidR="00B33581" w:rsidRPr="00535E3E" w:rsidRDefault="00B33581" w:rsidP="00B33581">
      <w:pPr>
        <w:pStyle w:val="Heading1"/>
      </w:pPr>
      <w:r w:rsidRPr="00535E3E">
        <w:lastRenderedPageBreak/>
        <w:t>GPRA M</w:t>
      </w:r>
      <w:r>
        <w:t>easure</w:t>
      </w:r>
      <w:r w:rsidRPr="00535E3E">
        <w:t xml:space="preserve"> #1: A</w:t>
      </w:r>
      <w:r>
        <w:t>cademic Achievement</w:t>
      </w:r>
    </w:p>
    <w:p w14:paraId="608246B3" w14:textId="77777777" w:rsidR="00B33581" w:rsidRPr="00535E3E" w:rsidRDefault="00B33581" w:rsidP="00B33581">
      <w:pPr>
        <w:rPr>
          <w:rFonts w:eastAsia="Times New Roman"/>
        </w:rPr>
      </w:pPr>
      <w:r w:rsidRPr="00535E3E">
        <w:rPr>
          <w:rFonts w:eastAsia="Times New Roman"/>
        </w:rPr>
        <w:t>Percentage of students in grades 4–8 participating in 21stCCLC programming during the school year and summer who demonstrate growth in reading/language arts on state assessments.</w:t>
      </w:r>
    </w:p>
    <w:p w14:paraId="7B319461" w14:textId="04AB0303" w:rsidR="00B33581" w:rsidRDefault="00B33581" w:rsidP="00B33581">
      <w:pPr>
        <w:rPr>
          <w:rFonts w:ascii="Times New Roman" w:eastAsia="Times New Roman" w:hAnsi="Times New Roman" w:cs="Times New Roman"/>
          <w:sz w:val="28"/>
          <w:szCs w:val="28"/>
        </w:rPr>
      </w:pPr>
      <w:r w:rsidRPr="00535E3E">
        <w:rPr>
          <w:rFonts w:eastAsia="Times New Roman"/>
        </w:rPr>
        <w:t>Percentage of students in grades 4–8 participating in 21stCCLC programming during the school year and summer who demonstrate growth in mathematics on state assessments.</w:t>
      </w:r>
    </w:p>
    <w:p w14:paraId="26C6753F" w14:textId="38165439" w:rsidR="00B54560" w:rsidRDefault="00B33581" w:rsidP="00B33581">
      <w:r w:rsidRPr="00532B19">
        <w:rPr>
          <w:b/>
          <w:i/>
        </w:rPr>
        <w:t>How is growth determined?</w:t>
      </w:r>
      <w:r>
        <w:t xml:space="preserve"> </w:t>
      </w:r>
      <w:r w:rsidRPr="00532B19">
        <w:t xml:space="preserve">Growth is defined as </w:t>
      </w:r>
      <w:r>
        <w:t xml:space="preserve">positive movement from one performance level to the next on two </w:t>
      </w:r>
      <w:r w:rsidRPr="00604787">
        <w:rPr>
          <w:b/>
          <w:bCs/>
        </w:rPr>
        <w:t>consecutive</w:t>
      </w:r>
      <w:r>
        <w:t xml:space="preserve"> years of the same state assessment (PSSA to PSSA or PASA to PASA).  This means that a student is considered as IMPROVED if they:</w:t>
      </w:r>
    </w:p>
    <w:p w14:paraId="0E66DFA2" w14:textId="77777777" w:rsidR="00B33581" w:rsidRDefault="00B33581" w:rsidP="00B33581">
      <w:pPr>
        <w:pStyle w:val="ListParagraph"/>
        <w:numPr>
          <w:ilvl w:val="0"/>
          <w:numId w:val="1"/>
        </w:numPr>
      </w:pPr>
      <w:r>
        <w:t xml:space="preserve">Move </w:t>
      </w:r>
      <w:r w:rsidRPr="00EE1411">
        <w:rPr>
          <w:i/>
        </w:rPr>
        <w:t>from</w:t>
      </w:r>
      <w:r>
        <w:t xml:space="preserve"> Below Basic </w:t>
      </w:r>
      <w:r w:rsidRPr="00EE1411">
        <w:rPr>
          <w:i/>
        </w:rPr>
        <w:t>to</w:t>
      </w:r>
      <w:r>
        <w:t xml:space="preserve"> Basic, Proficient, or Advanced.</w:t>
      </w:r>
    </w:p>
    <w:p w14:paraId="1B9DF503" w14:textId="77777777" w:rsidR="00B33581" w:rsidRDefault="00B33581" w:rsidP="00B33581">
      <w:pPr>
        <w:pStyle w:val="ListParagraph"/>
        <w:numPr>
          <w:ilvl w:val="0"/>
          <w:numId w:val="1"/>
        </w:numPr>
      </w:pPr>
      <w:r>
        <w:t xml:space="preserve">Move </w:t>
      </w:r>
      <w:r w:rsidRPr="00EE1411">
        <w:rPr>
          <w:i/>
        </w:rPr>
        <w:t>from</w:t>
      </w:r>
      <w:r>
        <w:t xml:space="preserve"> Basic </w:t>
      </w:r>
      <w:r w:rsidRPr="00EE1411">
        <w:rPr>
          <w:i/>
        </w:rPr>
        <w:t>to</w:t>
      </w:r>
      <w:r>
        <w:t xml:space="preserve"> Proficient or Advanced.</w:t>
      </w:r>
    </w:p>
    <w:p w14:paraId="15CD3F8C" w14:textId="77777777" w:rsidR="00B33581" w:rsidRDefault="00B33581" w:rsidP="00B33581">
      <w:pPr>
        <w:pStyle w:val="ListParagraph"/>
        <w:numPr>
          <w:ilvl w:val="0"/>
          <w:numId w:val="1"/>
        </w:numPr>
      </w:pPr>
      <w:r>
        <w:t xml:space="preserve">Move </w:t>
      </w:r>
      <w:r w:rsidRPr="00EE1411">
        <w:rPr>
          <w:i/>
        </w:rPr>
        <w:t>from</w:t>
      </w:r>
      <w:r>
        <w:t xml:space="preserve"> Proficient </w:t>
      </w:r>
      <w:r w:rsidRPr="00EE1411">
        <w:rPr>
          <w:i/>
        </w:rPr>
        <w:t>to</w:t>
      </w:r>
      <w:r>
        <w:t xml:space="preserve"> Advanced.</w:t>
      </w:r>
    </w:p>
    <w:p w14:paraId="7E0B8DF6" w14:textId="77777777" w:rsidR="00B33581" w:rsidRDefault="00B33581" w:rsidP="00B33581">
      <w:r>
        <w:t>Students who score within the Advanced level on both the prior year and the current year state assessment are considered as not needing to improve.</w:t>
      </w:r>
    </w:p>
    <w:p w14:paraId="1C5207BC" w14:textId="77777777" w:rsidR="00B33581" w:rsidRDefault="00B33581" w:rsidP="00B33581">
      <w:r>
        <w:t xml:space="preserve">Students who score in the same level (Below Basic, Basic, and Proficient) in two consecutive years are considered ‘no change.’ </w:t>
      </w:r>
    </w:p>
    <w:p w14:paraId="11FF8A65" w14:textId="746F1BB6" w:rsidR="00B33581" w:rsidRDefault="00B33581" w:rsidP="00B33581">
      <w:r>
        <w:t>Students who show negative change, i.e., go from Proficient to Basic, from one year to the next are considered declining.</w:t>
      </w:r>
    </w:p>
    <w:p w14:paraId="6A5D0A73" w14:textId="136D0907" w:rsidR="00B33581" w:rsidRPr="00CF6854" w:rsidRDefault="00B33581" w:rsidP="00B33581">
      <w:pPr>
        <w:rPr>
          <w:rFonts w:ascii="Times New Roman" w:hAnsi="Times New Roman" w:cs="Times New Roman"/>
        </w:rPr>
      </w:pPr>
      <w:r>
        <w:t>Data analysis for state assessments will only include students in Grades 4-8, as these are the grades most likely to have two consecutive years of the state assessments and state assessments are not conducted in Pennsylvania before 3</w:t>
      </w:r>
      <w:r w:rsidRPr="00EE1411">
        <w:rPr>
          <w:vertAlign w:val="superscript"/>
        </w:rPr>
        <w:t>rd</w:t>
      </w:r>
      <w:r>
        <w:t xml:space="preserve"> grade or at the high school levels.  </w:t>
      </w:r>
    </w:p>
    <w:tbl>
      <w:tblPr>
        <w:tblStyle w:val="GridTable4-Accent1"/>
        <w:tblW w:w="10795" w:type="dxa"/>
        <w:tblLook w:val="0620" w:firstRow="1" w:lastRow="0" w:firstColumn="0" w:lastColumn="0" w:noHBand="1" w:noVBand="1"/>
      </w:tblPr>
      <w:tblGrid>
        <w:gridCol w:w="2875"/>
        <w:gridCol w:w="1620"/>
        <w:gridCol w:w="2610"/>
        <w:gridCol w:w="3690"/>
      </w:tblGrid>
      <w:tr w:rsidR="00B54560" w:rsidRPr="00CF6854" w14:paraId="4657EF1F" w14:textId="77777777" w:rsidTr="00B33581">
        <w:trPr>
          <w:cnfStyle w:val="100000000000" w:firstRow="1" w:lastRow="0" w:firstColumn="0" w:lastColumn="0" w:oddVBand="0" w:evenVBand="0" w:oddHBand="0" w:evenHBand="0" w:firstRowFirstColumn="0" w:firstRowLastColumn="0" w:lastRowFirstColumn="0" w:lastRowLastColumn="0"/>
          <w:cantSplit/>
          <w:tblHeader/>
        </w:trPr>
        <w:tc>
          <w:tcPr>
            <w:tcW w:w="2875" w:type="dxa"/>
          </w:tcPr>
          <w:p w14:paraId="47EBA781" w14:textId="77777777" w:rsidR="00B54560" w:rsidRPr="00CF6854" w:rsidRDefault="00B54560" w:rsidP="00B33581">
            <w:pPr>
              <w:rPr>
                <w:b w:val="0"/>
                <w:bCs w:val="0"/>
              </w:rPr>
            </w:pPr>
            <w:r w:rsidRPr="00CF6854">
              <w:t>Performance Indicator</w:t>
            </w:r>
          </w:p>
        </w:tc>
        <w:tc>
          <w:tcPr>
            <w:tcW w:w="1620" w:type="dxa"/>
          </w:tcPr>
          <w:p w14:paraId="3685EB50" w14:textId="77777777" w:rsidR="00B54560" w:rsidRPr="00CF6854" w:rsidRDefault="00B54560" w:rsidP="00B33581">
            <w:pPr>
              <w:rPr>
                <w:b w:val="0"/>
                <w:bCs w:val="0"/>
              </w:rPr>
            </w:pPr>
            <w:r w:rsidRPr="00CF6854">
              <w:t>Target (%)</w:t>
            </w:r>
          </w:p>
        </w:tc>
        <w:tc>
          <w:tcPr>
            <w:tcW w:w="2610" w:type="dxa"/>
          </w:tcPr>
          <w:p w14:paraId="4AA121AC" w14:textId="77777777" w:rsidR="00B54560" w:rsidRPr="00CF6854" w:rsidRDefault="00B54560" w:rsidP="00B33581">
            <w:pPr>
              <w:rPr>
                <w:b w:val="0"/>
                <w:bCs w:val="0"/>
              </w:rPr>
            </w:pPr>
            <w:r w:rsidRPr="00CF6854">
              <w:t>Activities</w:t>
            </w:r>
          </w:p>
          <w:p w14:paraId="5F48BBC4" w14:textId="77777777" w:rsidR="00B54560" w:rsidRPr="00CF6854" w:rsidRDefault="00B54560" w:rsidP="00B33581">
            <w:r w:rsidRPr="00CF6854">
              <w:t>Include those activities specifically chosen to influence the area addressed by the performance indicator</w:t>
            </w:r>
          </w:p>
        </w:tc>
        <w:tc>
          <w:tcPr>
            <w:tcW w:w="3690" w:type="dxa"/>
          </w:tcPr>
          <w:p w14:paraId="04582A5E" w14:textId="77777777" w:rsidR="00B54560" w:rsidRPr="00CF6854" w:rsidRDefault="00B54560" w:rsidP="00B33581">
            <w:pPr>
              <w:rPr>
                <w:b w:val="0"/>
                <w:bCs w:val="0"/>
              </w:rPr>
            </w:pPr>
            <w:r w:rsidRPr="00CF6854">
              <w:t xml:space="preserve">Data Source(s) and Evaluation Methods </w:t>
            </w:r>
          </w:p>
          <w:p w14:paraId="455E1BA9" w14:textId="77777777" w:rsidR="00B54560" w:rsidRPr="00CF6854" w:rsidRDefault="00B54560" w:rsidP="00B33581">
            <w:r w:rsidRPr="00CF6854">
              <w:t>List all data sources used to examine this indicator: Ex:  report cards, program attendance data, student grade levels</w:t>
            </w:r>
          </w:p>
        </w:tc>
      </w:tr>
      <w:tr w:rsidR="00B54560" w:rsidRPr="00CF6854" w14:paraId="410FDB4A" w14:textId="77777777" w:rsidTr="00B33581">
        <w:trPr>
          <w:cantSplit/>
        </w:trPr>
        <w:tc>
          <w:tcPr>
            <w:tcW w:w="2875" w:type="dxa"/>
          </w:tcPr>
          <w:p w14:paraId="00C3811F" w14:textId="3E2EEE6B" w:rsidR="00B54560" w:rsidRPr="00604787" w:rsidRDefault="00B54560" w:rsidP="00B33581">
            <w:pPr>
              <w:rPr>
                <w:rFonts w:eastAsia="Times New Roman"/>
              </w:rPr>
            </w:pPr>
            <w:r w:rsidRPr="00604787">
              <w:t>The percentage of elementary 21</w:t>
            </w:r>
            <w:r w:rsidRPr="00604787">
              <w:rPr>
                <w:vertAlign w:val="superscript"/>
              </w:rPr>
              <w:t>st</w:t>
            </w:r>
            <w:r w:rsidRPr="00604787">
              <w:t xml:space="preserve"> </w:t>
            </w:r>
            <w:r w:rsidR="00082FD8" w:rsidRPr="00604787">
              <w:t>CCLC participants</w:t>
            </w:r>
            <w:r w:rsidRPr="00604787">
              <w:rPr>
                <w:rFonts w:eastAsia="Times New Roman"/>
              </w:rPr>
              <w:t xml:space="preserve"> who demonstrate growth in mathematics on state assessments (PSSA/PASA).</w:t>
            </w:r>
          </w:p>
        </w:tc>
        <w:tc>
          <w:tcPr>
            <w:tcW w:w="1620" w:type="dxa"/>
          </w:tcPr>
          <w:p w14:paraId="673D3549" w14:textId="77777777" w:rsidR="00B54560" w:rsidRPr="00CF6854" w:rsidRDefault="00B54560" w:rsidP="00B33581"/>
        </w:tc>
        <w:tc>
          <w:tcPr>
            <w:tcW w:w="2610" w:type="dxa"/>
          </w:tcPr>
          <w:p w14:paraId="3232261C" w14:textId="77777777" w:rsidR="00B54560" w:rsidRPr="00CF6854" w:rsidRDefault="00B54560" w:rsidP="00B33581"/>
        </w:tc>
        <w:tc>
          <w:tcPr>
            <w:tcW w:w="3690" w:type="dxa"/>
          </w:tcPr>
          <w:p w14:paraId="48ECD763" w14:textId="77777777" w:rsidR="00B54560" w:rsidRPr="00CF6854" w:rsidRDefault="00B54560" w:rsidP="00B33581"/>
        </w:tc>
      </w:tr>
      <w:tr w:rsidR="00B54560" w:rsidRPr="00CF6854" w14:paraId="26005858" w14:textId="77777777" w:rsidTr="00B33581">
        <w:trPr>
          <w:cantSplit/>
        </w:trPr>
        <w:tc>
          <w:tcPr>
            <w:tcW w:w="2875" w:type="dxa"/>
          </w:tcPr>
          <w:p w14:paraId="2E29DE90" w14:textId="24183838" w:rsidR="00B54560" w:rsidRPr="00604787" w:rsidRDefault="00B54560" w:rsidP="00B33581">
            <w:pPr>
              <w:rPr>
                <w:rFonts w:eastAsia="Times New Roman"/>
              </w:rPr>
            </w:pPr>
            <w:r w:rsidRPr="00604787">
              <w:t>The percentage of middle school 21</w:t>
            </w:r>
            <w:r w:rsidRPr="00604787">
              <w:rPr>
                <w:vertAlign w:val="superscript"/>
              </w:rPr>
              <w:t>st</w:t>
            </w:r>
            <w:r w:rsidRPr="00604787">
              <w:t xml:space="preserve"> CCLC participants </w:t>
            </w:r>
            <w:r w:rsidRPr="00604787">
              <w:rPr>
                <w:rFonts w:eastAsia="Times New Roman"/>
              </w:rPr>
              <w:t>who demonstrate growth in mathematics on state assessments (PSSA/PASA)</w:t>
            </w:r>
            <w:r w:rsidR="00B33581" w:rsidRPr="00604787">
              <w:rPr>
                <w:rFonts w:eastAsia="Times New Roman"/>
              </w:rPr>
              <w:t>.</w:t>
            </w:r>
          </w:p>
        </w:tc>
        <w:tc>
          <w:tcPr>
            <w:tcW w:w="1620" w:type="dxa"/>
          </w:tcPr>
          <w:p w14:paraId="174C0E3C" w14:textId="77777777" w:rsidR="00B54560" w:rsidRPr="00CF6854" w:rsidRDefault="00B54560" w:rsidP="00B33581"/>
        </w:tc>
        <w:tc>
          <w:tcPr>
            <w:tcW w:w="2610" w:type="dxa"/>
          </w:tcPr>
          <w:p w14:paraId="5BCAD80E" w14:textId="77777777" w:rsidR="00B54560" w:rsidRPr="00CF6854" w:rsidRDefault="00B54560" w:rsidP="00B33581"/>
        </w:tc>
        <w:tc>
          <w:tcPr>
            <w:tcW w:w="3690" w:type="dxa"/>
          </w:tcPr>
          <w:p w14:paraId="0FCF7D23" w14:textId="77777777" w:rsidR="00B54560" w:rsidRPr="00CF6854" w:rsidRDefault="00B54560" w:rsidP="00B33581"/>
        </w:tc>
      </w:tr>
      <w:tr w:rsidR="00B54560" w:rsidRPr="00CF6854" w14:paraId="56A08A5D" w14:textId="77777777" w:rsidTr="00B33581">
        <w:trPr>
          <w:cantSplit/>
        </w:trPr>
        <w:tc>
          <w:tcPr>
            <w:tcW w:w="2875" w:type="dxa"/>
          </w:tcPr>
          <w:p w14:paraId="0F8A9B81" w14:textId="5031913D" w:rsidR="00B54560" w:rsidRPr="00604787" w:rsidRDefault="00B54560" w:rsidP="00B33581">
            <w:pPr>
              <w:rPr>
                <w:rFonts w:eastAsia="Times New Roman"/>
              </w:rPr>
            </w:pPr>
            <w:r w:rsidRPr="00604787">
              <w:lastRenderedPageBreak/>
              <w:t>The percentage of elementary 21</w:t>
            </w:r>
            <w:r w:rsidRPr="00604787">
              <w:rPr>
                <w:vertAlign w:val="superscript"/>
              </w:rPr>
              <w:t>st</w:t>
            </w:r>
            <w:r w:rsidRPr="00604787">
              <w:t xml:space="preserve"> CCLC participants </w:t>
            </w:r>
            <w:r w:rsidRPr="00604787">
              <w:rPr>
                <w:rFonts w:eastAsia="Times New Roman"/>
              </w:rPr>
              <w:t>who demonstrate growth in reading on state assessments (PSSA/PASA).</w:t>
            </w:r>
          </w:p>
        </w:tc>
        <w:tc>
          <w:tcPr>
            <w:tcW w:w="1620" w:type="dxa"/>
          </w:tcPr>
          <w:p w14:paraId="537C63ED" w14:textId="77777777" w:rsidR="00B54560" w:rsidRPr="00CF6854" w:rsidRDefault="00B54560" w:rsidP="00B33581"/>
        </w:tc>
        <w:tc>
          <w:tcPr>
            <w:tcW w:w="2610" w:type="dxa"/>
          </w:tcPr>
          <w:p w14:paraId="6612608C" w14:textId="77777777" w:rsidR="00B54560" w:rsidRPr="00CF6854" w:rsidRDefault="00B54560" w:rsidP="00B33581"/>
        </w:tc>
        <w:tc>
          <w:tcPr>
            <w:tcW w:w="3690" w:type="dxa"/>
          </w:tcPr>
          <w:p w14:paraId="6A0ED8D0" w14:textId="77777777" w:rsidR="00B54560" w:rsidRPr="00CF6854" w:rsidRDefault="00B54560" w:rsidP="00B33581"/>
        </w:tc>
      </w:tr>
      <w:tr w:rsidR="00B54560" w:rsidRPr="00CF6854" w14:paraId="5D323BEA" w14:textId="77777777" w:rsidTr="00B33581">
        <w:trPr>
          <w:cantSplit/>
        </w:trPr>
        <w:tc>
          <w:tcPr>
            <w:tcW w:w="2875" w:type="dxa"/>
          </w:tcPr>
          <w:p w14:paraId="6EDA9CD4" w14:textId="189DA349" w:rsidR="00B54560" w:rsidRPr="00604787" w:rsidRDefault="00B54560" w:rsidP="00B33581">
            <w:pPr>
              <w:rPr>
                <w:rFonts w:eastAsia="Times New Roman"/>
              </w:rPr>
            </w:pPr>
            <w:r w:rsidRPr="00604787">
              <w:t>The percentage of middle school 21</w:t>
            </w:r>
            <w:r w:rsidRPr="00604787">
              <w:rPr>
                <w:vertAlign w:val="superscript"/>
              </w:rPr>
              <w:t>st</w:t>
            </w:r>
            <w:r w:rsidRPr="00604787">
              <w:t xml:space="preserve"> CCLC regular participants </w:t>
            </w:r>
            <w:r w:rsidRPr="00604787">
              <w:rPr>
                <w:rFonts w:eastAsia="Times New Roman"/>
              </w:rPr>
              <w:t>who demonstrate growth in reading</w:t>
            </w:r>
            <w:r w:rsidRPr="00604787" w:rsidDel="00320C5A">
              <w:rPr>
                <w:rFonts w:eastAsia="Times New Roman"/>
              </w:rPr>
              <w:t xml:space="preserve"> </w:t>
            </w:r>
            <w:r w:rsidRPr="00604787">
              <w:rPr>
                <w:rFonts w:eastAsia="Times New Roman"/>
              </w:rPr>
              <w:t>on state assessments (PSSA/PASA).</w:t>
            </w:r>
          </w:p>
        </w:tc>
        <w:tc>
          <w:tcPr>
            <w:tcW w:w="1620" w:type="dxa"/>
          </w:tcPr>
          <w:p w14:paraId="53BF59B1" w14:textId="77777777" w:rsidR="00B54560" w:rsidRPr="00CF6854" w:rsidRDefault="00B54560" w:rsidP="00B33581"/>
        </w:tc>
        <w:tc>
          <w:tcPr>
            <w:tcW w:w="2610" w:type="dxa"/>
          </w:tcPr>
          <w:p w14:paraId="6EE0ABB2" w14:textId="77777777" w:rsidR="00B54560" w:rsidRPr="00CF6854" w:rsidRDefault="00B54560" w:rsidP="00B33581"/>
        </w:tc>
        <w:tc>
          <w:tcPr>
            <w:tcW w:w="3690" w:type="dxa"/>
          </w:tcPr>
          <w:p w14:paraId="3C27C80C" w14:textId="77777777" w:rsidR="00B54560" w:rsidRPr="00CF6854" w:rsidRDefault="00B54560" w:rsidP="00B33581"/>
        </w:tc>
      </w:tr>
    </w:tbl>
    <w:p w14:paraId="09CDBA3E" w14:textId="77777777" w:rsidR="00A72AE3" w:rsidRDefault="00A72AE3">
      <w:pPr>
        <w:rPr>
          <w:rFonts w:eastAsia="Times New Roman" w:cs="Arial"/>
          <w:b/>
          <w:bCs/>
          <w:sz w:val="28"/>
          <w:szCs w:val="28"/>
        </w:rPr>
      </w:pPr>
      <w:r>
        <w:rPr>
          <w:rFonts w:eastAsia="Times New Roman" w:cs="Arial"/>
          <w:b/>
          <w:bCs/>
          <w:sz w:val="28"/>
          <w:szCs w:val="28"/>
        </w:rPr>
        <w:br w:type="page"/>
      </w:r>
    </w:p>
    <w:p w14:paraId="4C8EB51F" w14:textId="289D9EF2" w:rsidR="00B33581" w:rsidRPr="00535E3E" w:rsidRDefault="00B33581" w:rsidP="00B33581">
      <w:pPr>
        <w:pStyle w:val="Heading1"/>
      </w:pPr>
      <w:r w:rsidRPr="00535E3E">
        <w:lastRenderedPageBreak/>
        <w:t>GPRA M</w:t>
      </w:r>
      <w:r>
        <w:t>easure</w:t>
      </w:r>
      <w:r w:rsidRPr="00535E3E">
        <w:t xml:space="preserve"> #2: G</w:t>
      </w:r>
      <w:r>
        <w:t>rade Point Average</w:t>
      </w:r>
      <w:r w:rsidRPr="00535E3E">
        <w:t xml:space="preserve"> (GPA)</w:t>
      </w:r>
    </w:p>
    <w:p w14:paraId="0E711A69" w14:textId="77777777" w:rsidR="00B33581" w:rsidRDefault="00B33581" w:rsidP="00B33581">
      <w:pPr>
        <w:rPr>
          <w:rFonts w:eastAsia="Times New Roman"/>
        </w:rPr>
      </w:pPr>
      <w:r w:rsidRPr="00535E3E">
        <w:rPr>
          <w:rFonts w:eastAsia="Times New Roman"/>
        </w:rPr>
        <w:t>Percentage of students in grades 7–8 and 10–12 attending 21</w:t>
      </w:r>
      <w:r w:rsidRPr="00535E3E">
        <w:rPr>
          <w:rFonts w:eastAsia="Times New Roman"/>
          <w:vertAlign w:val="superscript"/>
        </w:rPr>
        <w:t>st</w:t>
      </w:r>
      <w:r w:rsidRPr="00535E3E">
        <w:rPr>
          <w:rFonts w:eastAsia="Times New Roman"/>
        </w:rPr>
        <w:t xml:space="preserve"> CCLC programming during the school year and summer with a prior-year unweighted GPA less than 3.0 who demonstrated an improved GPA.</w:t>
      </w:r>
    </w:p>
    <w:p w14:paraId="5489B95D" w14:textId="77777777" w:rsidR="00946764" w:rsidRDefault="00B33581" w:rsidP="00B33581">
      <w:r w:rsidRPr="00532B19">
        <w:rPr>
          <w:b/>
          <w:i/>
        </w:rPr>
        <w:t>How is growth determined?</w:t>
      </w:r>
      <w:r>
        <w:t xml:space="preserve">  Growth is defined as a positive increase in a student’s grade point average from the prior year to the participating year.  Grantees should examine GPA to the nearest tenth (one decimal point).  Grantees/schools may round a student’s GPA to the nearest tenth based on generally accepted mathematical principles where .05 and greater may be rounded up and .04 and lower are rounded down.  Examples: 3.15 </w:t>
      </w:r>
      <w:r w:rsidRPr="00D57535">
        <w:t>would be rounded</w:t>
      </w:r>
      <w:r>
        <w:t xml:space="preserve"> to 3.2; 2.86 would be reported as 2.9; 3.44 would be rounded and reported as 3.4.</w:t>
      </w:r>
    </w:p>
    <w:p w14:paraId="42990A03" w14:textId="77777777" w:rsidR="00B33581" w:rsidRPr="00D57535" w:rsidRDefault="00B33581" w:rsidP="00B33581">
      <w:pPr>
        <w:rPr>
          <w:rFonts w:eastAsia="Times New Roman"/>
        </w:rPr>
      </w:pPr>
      <w:r w:rsidRPr="00D57535">
        <w:rPr>
          <w:rFonts w:eastAsia="Times New Roman"/>
        </w:rPr>
        <w:t>*Note: Grantees are required to manually convert student</w:t>
      </w:r>
      <w:r>
        <w:rPr>
          <w:rFonts w:eastAsia="Times New Roman"/>
        </w:rPr>
        <w:t>s’</w:t>
      </w:r>
      <w:r w:rsidRPr="00D57535">
        <w:rPr>
          <w:rFonts w:eastAsia="Times New Roman"/>
        </w:rPr>
        <w:t xml:space="preserve"> grades to GPA</w:t>
      </w:r>
      <w:r>
        <w:rPr>
          <w:rFonts w:eastAsia="Times New Roman"/>
        </w:rPr>
        <w:t>s</w:t>
      </w:r>
      <w:r w:rsidRPr="00D57535">
        <w:rPr>
          <w:rFonts w:eastAsia="Times New Roman"/>
        </w:rPr>
        <w:t xml:space="preserve"> if a school does not issue GPAs.</w:t>
      </w:r>
    </w:p>
    <w:tbl>
      <w:tblPr>
        <w:tblStyle w:val="GridTable4-Accent1"/>
        <w:tblW w:w="10795" w:type="dxa"/>
        <w:tblLook w:val="0620" w:firstRow="1" w:lastRow="0" w:firstColumn="0" w:lastColumn="0" w:noHBand="1" w:noVBand="1"/>
      </w:tblPr>
      <w:tblGrid>
        <w:gridCol w:w="2875"/>
        <w:gridCol w:w="1620"/>
        <w:gridCol w:w="2610"/>
        <w:gridCol w:w="3690"/>
      </w:tblGrid>
      <w:tr w:rsidR="00B54560" w:rsidRPr="00CF6854" w14:paraId="29D30228" w14:textId="77777777" w:rsidTr="00B33581">
        <w:trPr>
          <w:cnfStyle w:val="100000000000" w:firstRow="1" w:lastRow="0" w:firstColumn="0" w:lastColumn="0" w:oddVBand="0" w:evenVBand="0" w:oddHBand="0" w:evenHBand="0" w:firstRowFirstColumn="0" w:firstRowLastColumn="0" w:lastRowFirstColumn="0" w:lastRowLastColumn="0"/>
          <w:tblHeader/>
        </w:trPr>
        <w:tc>
          <w:tcPr>
            <w:tcW w:w="2875" w:type="dxa"/>
          </w:tcPr>
          <w:p w14:paraId="4D18C785" w14:textId="77777777" w:rsidR="00B54560" w:rsidRPr="00CF6854" w:rsidRDefault="00B54560" w:rsidP="00B33581">
            <w:pPr>
              <w:rPr>
                <w:b w:val="0"/>
                <w:bCs w:val="0"/>
              </w:rPr>
            </w:pPr>
            <w:r w:rsidRPr="00CF6854">
              <w:t>Performance Indicator</w:t>
            </w:r>
          </w:p>
        </w:tc>
        <w:tc>
          <w:tcPr>
            <w:tcW w:w="1620" w:type="dxa"/>
          </w:tcPr>
          <w:p w14:paraId="4AAB291C" w14:textId="77777777" w:rsidR="00B54560" w:rsidRPr="00CF6854" w:rsidRDefault="00B54560" w:rsidP="00B33581">
            <w:pPr>
              <w:rPr>
                <w:b w:val="0"/>
                <w:bCs w:val="0"/>
              </w:rPr>
            </w:pPr>
            <w:r w:rsidRPr="00CF6854">
              <w:t>Target (%)</w:t>
            </w:r>
          </w:p>
        </w:tc>
        <w:tc>
          <w:tcPr>
            <w:tcW w:w="2610" w:type="dxa"/>
          </w:tcPr>
          <w:p w14:paraId="0CBA513F" w14:textId="54CBA076" w:rsidR="00B54560" w:rsidRPr="00CF6854" w:rsidRDefault="00B54560" w:rsidP="00B33581">
            <w:pPr>
              <w:rPr>
                <w:b w:val="0"/>
                <w:bCs w:val="0"/>
              </w:rPr>
            </w:pPr>
            <w:r w:rsidRPr="00CF6854">
              <w:t>Activities</w:t>
            </w:r>
          </w:p>
          <w:p w14:paraId="62CBA6CA" w14:textId="77777777" w:rsidR="00B54560" w:rsidRPr="00CF6854" w:rsidRDefault="00B54560" w:rsidP="00B33581">
            <w:r w:rsidRPr="00CF6854">
              <w:t>Include those activities specifically chosen to influence the area addressed by the performance indicator</w:t>
            </w:r>
          </w:p>
        </w:tc>
        <w:tc>
          <w:tcPr>
            <w:tcW w:w="3690" w:type="dxa"/>
          </w:tcPr>
          <w:p w14:paraId="39CA8978" w14:textId="77777777" w:rsidR="00B54560" w:rsidRPr="00CF6854" w:rsidRDefault="00B54560" w:rsidP="00B33581">
            <w:pPr>
              <w:rPr>
                <w:b w:val="0"/>
                <w:bCs w:val="0"/>
              </w:rPr>
            </w:pPr>
            <w:r w:rsidRPr="00CF6854">
              <w:t xml:space="preserve">Data Source(s) and Evaluation Methods </w:t>
            </w:r>
          </w:p>
          <w:p w14:paraId="2A08A4A0" w14:textId="77777777" w:rsidR="00B54560" w:rsidRPr="00CF6854" w:rsidRDefault="00B54560" w:rsidP="00B33581">
            <w:r w:rsidRPr="00CF6854">
              <w:t xml:space="preserve">List all data sources used to examine this indicator: Ex:  report cards, program attendance data, student grade </w:t>
            </w:r>
            <w:proofErr w:type="gramStart"/>
            <w:r w:rsidRPr="00CF6854">
              <w:t>levels</w:t>
            </w:r>
            <w:proofErr w:type="gramEnd"/>
          </w:p>
          <w:p w14:paraId="28A05469" w14:textId="77777777" w:rsidR="00B54560" w:rsidRPr="00CF6854" w:rsidRDefault="00B54560" w:rsidP="00B33581"/>
        </w:tc>
      </w:tr>
      <w:tr w:rsidR="00B54560" w:rsidRPr="00CF6854" w14:paraId="5320F70D" w14:textId="77777777" w:rsidTr="00B33581">
        <w:tc>
          <w:tcPr>
            <w:tcW w:w="2875" w:type="dxa"/>
          </w:tcPr>
          <w:p w14:paraId="1F069359" w14:textId="77777777" w:rsidR="00B54560" w:rsidRPr="00CF6854" w:rsidRDefault="00B54560" w:rsidP="00B33581">
            <w:r w:rsidRPr="00CF6854">
              <w:t>The percentage of 7-8th grade 21</w:t>
            </w:r>
            <w:r w:rsidRPr="00CF6854">
              <w:rPr>
                <w:vertAlign w:val="superscript"/>
              </w:rPr>
              <w:t>st</w:t>
            </w:r>
            <w:r w:rsidRPr="00CF6854">
              <w:t xml:space="preserve"> CCLC participants whose </w:t>
            </w:r>
            <w:r>
              <w:t>GPA</w:t>
            </w:r>
            <w:r w:rsidRPr="00CF6854">
              <w:t xml:space="preserve"> improved from </w:t>
            </w:r>
            <w:r>
              <w:t>the end of the prior year</w:t>
            </w:r>
            <w:r w:rsidRPr="00CF6854">
              <w:t xml:space="preserve"> to </w:t>
            </w:r>
            <w:r>
              <w:t>the end of the current year</w:t>
            </w:r>
            <w:r w:rsidRPr="00CF6854">
              <w:t>.</w:t>
            </w:r>
          </w:p>
        </w:tc>
        <w:tc>
          <w:tcPr>
            <w:tcW w:w="1620" w:type="dxa"/>
          </w:tcPr>
          <w:p w14:paraId="5A4F7680" w14:textId="77777777" w:rsidR="00B54560" w:rsidRPr="00CF6854" w:rsidRDefault="00B54560" w:rsidP="00B33581"/>
        </w:tc>
        <w:tc>
          <w:tcPr>
            <w:tcW w:w="2610" w:type="dxa"/>
          </w:tcPr>
          <w:p w14:paraId="3581FD0B" w14:textId="77777777" w:rsidR="00B54560" w:rsidRPr="00CF6854" w:rsidRDefault="00B54560" w:rsidP="00B33581"/>
        </w:tc>
        <w:tc>
          <w:tcPr>
            <w:tcW w:w="3690" w:type="dxa"/>
          </w:tcPr>
          <w:p w14:paraId="56D56217" w14:textId="77777777" w:rsidR="00B54560" w:rsidRPr="00CF6854" w:rsidRDefault="00B54560" w:rsidP="00B33581"/>
        </w:tc>
      </w:tr>
      <w:tr w:rsidR="00B54560" w:rsidRPr="00CF6854" w14:paraId="45BA973E" w14:textId="77777777" w:rsidTr="00B33581">
        <w:tc>
          <w:tcPr>
            <w:tcW w:w="2875" w:type="dxa"/>
          </w:tcPr>
          <w:p w14:paraId="32B2A0BD" w14:textId="77777777" w:rsidR="00B54560" w:rsidRPr="00CF6854" w:rsidRDefault="00B54560" w:rsidP="00B33581">
            <w:r w:rsidRPr="00CF6854">
              <w:t>The percentage of 10-12</w:t>
            </w:r>
            <w:r w:rsidRPr="00CF6854">
              <w:rPr>
                <w:vertAlign w:val="superscript"/>
              </w:rPr>
              <w:t>th</w:t>
            </w:r>
            <w:r w:rsidRPr="00CF6854">
              <w:t xml:space="preserve"> grade 21</w:t>
            </w:r>
            <w:r w:rsidRPr="00CF6854">
              <w:rPr>
                <w:vertAlign w:val="superscript"/>
              </w:rPr>
              <w:t>st</w:t>
            </w:r>
            <w:r w:rsidRPr="00CF6854">
              <w:t xml:space="preserve"> CCLC participants whose </w:t>
            </w:r>
            <w:r>
              <w:t xml:space="preserve">GPA </w:t>
            </w:r>
            <w:r w:rsidRPr="00CF6854">
              <w:t xml:space="preserve">improved from </w:t>
            </w:r>
            <w:r>
              <w:t>the end of the prior year</w:t>
            </w:r>
            <w:r w:rsidRPr="00CF6854">
              <w:t xml:space="preserve"> to </w:t>
            </w:r>
            <w:r>
              <w:t>the current year</w:t>
            </w:r>
            <w:r w:rsidRPr="00CF6854">
              <w:t>.</w:t>
            </w:r>
          </w:p>
        </w:tc>
        <w:tc>
          <w:tcPr>
            <w:tcW w:w="1620" w:type="dxa"/>
          </w:tcPr>
          <w:p w14:paraId="09CD4589" w14:textId="77777777" w:rsidR="00B54560" w:rsidRPr="00CF6854" w:rsidRDefault="00B54560" w:rsidP="00B33581"/>
        </w:tc>
        <w:tc>
          <w:tcPr>
            <w:tcW w:w="2610" w:type="dxa"/>
          </w:tcPr>
          <w:p w14:paraId="22F14834" w14:textId="77777777" w:rsidR="00B54560" w:rsidRPr="00CF6854" w:rsidRDefault="00B54560" w:rsidP="00B33581"/>
        </w:tc>
        <w:tc>
          <w:tcPr>
            <w:tcW w:w="3690" w:type="dxa"/>
          </w:tcPr>
          <w:p w14:paraId="1D6BA58B" w14:textId="77777777" w:rsidR="00B54560" w:rsidRPr="00CF6854" w:rsidRDefault="00B54560" w:rsidP="00B33581"/>
        </w:tc>
      </w:tr>
    </w:tbl>
    <w:p w14:paraId="4CA65A25" w14:textId="67A3D94B" w:rsidR="00A72AE3" w:rsidRDefault="00A72AE3">
      <w:pPr>
        <w:rPr>
          <w:rFonts w:eastAsia="Times New Roman" w:cs="Arial"/>
          <w:b/>
          <w:bCs/>
          <w:sz w:val="28"/>
          <w:szCs w:val="28"/>
        </w:rPr>
      </w:pPr>
    </w:p>
    <w:p w14:paraId="13D40F28" w14:textId="77777777" w:rsidR="00A72AE3" w:rsidRDefault="00A72AE3">
      <w:pPr>
        <w:rPr>
          <w:rFonts w:eastAsia="Times New Roman" w:cs="Arial"/>
          <w:b/>
          <w:bCs/>
          <w:sz w:val="28"/>
          <w:szCs w:val="28"/>
        </w:rPr>
      </w:pPr>
      <w:r>
        <w:rPr>
          <w:rFonts w:eastAsia="Times New Roman" w:cs="Arial"/>
          <w:b/>
          <w:bCs/>
          <w:sz w:val="28"/>
          <w:szCs w:val="28"/>
        </w:rPr>
        <w:br w:type="page"/>
      </w:r>
    </w:p>
    <w:p w14:paraId="70A95F8C" w14:textId="7D915CE9" w:rsidR="00B33581" w:rsidRPr="00535E3E" w:rsidRDefault="00B33581" w:rsidP="00B33581">
      <w:pPr>
        <w:pStyle w:val="Heading1"/>
      </w:pPr>
      <w:r w:rsidRPr="00535E3E">
        <w:lastRenderedPageBreak/>
        <w:t>GPRA M</w:t>
      </w:r>
      <w:r>
        <w:t>easure</w:t>
      </w:r>
      <w:r w:rsidRPr="00535E3E">
        <w:t xml:space="preserve"> #3: S</w:t>
      </w:r>
      <w:r>
        <w:t>chool Day Attendance</w:t>
      </w:r>
    </w:p>
    <w:p w14:paraId="2CC3651D" w14:textId="77777777" w:rsidR="00B33581" w:rsidRPr="00535E3E" w:rsidRDefault="00B33581" w:rsidP="00B33581">
      <w:pPr>
        <w:rPr>
          <w:rFonts w:eastAsia="Times New Roman"/>
        </w:rPr>
      </w:pPr>
      <w:r w:rsidRPr="00535E3E">
        <w:rPr>
          <w:rFonts w:eastAsia="Times New Roman"/>
        </w:rPr>
        <w:t>Percentage of youth in grades 1–12 participating in 21</w:t>
      </w:r>
      <w:r w:rsidRPr="00535E3E">
        <w:rPr>
          <w:rFonts w:eastAsia="Times New Roman"/>
          <w:vertAlign w:val="superscript"/>
        </w:rPr>
        <w:t>st</w:t>
      </w:r>
      <w:r w:rsidRPr="00535E3E">
        <w:rPr>
          <w:rFonts w:eastAsia="Times New Roman"/>
        </w:rPr>
        <w:t xml:space="preserve"> CCLC during the school year and summer who:</w:t>
      </w:r>
    </w:p>
    <w:p w14:paraId="1D6E493D" w14:textId="77777777" w:rsidR="00B33581" w:rsidRDefault="00B33581" w:rsidP="00B33581">
      <w:pPr>
        <w:pStyle w:val="ListParagraph"/>
        <w:numPr>
          <w:ilvl w:val="0"/>
          <w:numId w:val="3"/>
        </w:numPr>
        <w:rPr>
          <w:rFonts w:eastAsia="Times New Roman"/>
        </w:rPr>
      </w:pPr>
      <w:r w:rsidRPr="00B33581">
        <w:rPr>
          <w:rFonts w:eastAsia="Times New Roman"/>
        </w:rPr>
        <w:t>Had a school-day attendance rate at or below 90% in the prior school year; and</w:t>
      </w:r>
    </w:p>
    <w:p w14:paraId="29F3B22D" w14:textId="077EFD83" w:rsidR="00B33581" w:rsidRPr="00B33581" w:rsidRDefault="00B33581" w:rsidP="00B33581">
      <w:pPr>
        <w:pStyle w:val="ListParagraph"/>
        <w:numPr>
          <w:ilvl w:val="0"/>
          <w:numId w:val="3"/>
        </w:numPr>
        <w:rPr>
          <w:rFonts w:eastAsia="Times New Roman"/>
        </w:rPr>
      </w:pPr>
      <w:r w:rsidRPr="00B33581">
        <w:rPr>
          <w:rFonts w:eastAsia="Times New Roman"/>
        </w:rPr>
        <w:t>Demonstrated an improved attendance rate in the current school year.</w:t>
      </w:r>
    </w:p>
    <w:p w14:paraId="0F7465CE" w14:textId="0507244B" w:rsidR="00B54560" w:rsidRDefault="00B33581" w:rsidP="00B33581">
      <w:r w:rsidRPr="00532B19">
        <w:rPr>
          <w:b/>
          <w:i/>
        </w:rPr>
        <w:t>How is growth determined?</w:t>
      </w:r>
      <w:r>
        <w:t xml:space="preserve">  State</w:t>
      </w:r>
      <w:r w:rsidRPr="00532B19">
        <w:t xml:space="preserve"> </w:t>
      </w:r>
      <w:r>
        <w:t>evaluators will examine the attendance rate in consideration of the student’s enrolled days for the prior year and the participating year.  However, state evaluators will focus on attendance rate as the growth measure.</w:t>
      </w:r>
    </w:p>
    <w:p w14:paraId="59FC95EB" w14:textId="77777777" w:rsidR="00B33581" w:rsidRDefault="00B33581" w:rsidP="00B33581">
      <w:pPr>
        <w:pStyle w:val="ListParagraph"/>
        <w:numPr>
          <w:ilvl w:val="0"/>
          <w:numId w:val="2"/>
        </w:numPr>
      </w:pPr>
      <w:r>
        <w:t>Students with an attendance rate better than 90% in the prior year AND the participating year will be considered not needing to improve.</w:t>
      </w:r>
    </w:p>
    <w:p w14:paraId="4A103D4D" w14:textId="77777777" w:rsidR="00B33581" w:rsidRDefault="00B33581" w:rsidP="00B33581">
      <w:pPr>
        <w:pStyle w:val="ListParagraph"/>
        <w:numPr>
          <w:ilvl w:val="0"/>
          <w:numId w:val="2"/>
        </w:numPr>
      </w:pPr>
      <w:r>
        <w:t>After excluding students who did not need to improve, any student who improves to any degree from the prior year to the current year will be considered improved.</w:t>
      </w:r>
    </w:p>
    <w:p w14:paraId="6C0C8025" w14:textId="77777777" w:rsidR="00B33581" w:rsidRDefault="00B33581" w:rsidP="00B33581">
      <w:pPr>
        <w:pStyle w:val="ListParagraph"/>
        <w:numPr>
          <w:ilvl w:val="0"/>
          <w:numId w:val="2"/>
        </w:numPr>
      </w:pPr>
      <w:r>
        <w:t>After excluding students who did not need to improve, any student who declines to any degree from the prior year to the current year will be considered declined.</w:t>
      </w:r>
    </w:p>
    <w:p w14:paraId="3BC7EFFD" w14:textId="77777777" w:rsidR="00B33581" w:rsidRPr="007A0179" w:rsidRDefault="00B33581" w:rsidP="00B33581">
      <w:pPr>
        <w:pStyle w:val="ListParagraph"/>
        <w:numPr>
          <w:ilvl w:val="0"/>
          <w:numId w:val="2"/>
        </w:numPr>
      </w:pPr>
      <w:r>
        <w:t>After excluding students who did not need to improve, any student whose attendance rate is the same for both years will be considered no change.</w:t>
      </w:r>
    </w:p>
    <w:tbl>
      <w:tblPr>
        <w:tblStyle w:val="GridTable4-Accent1"/>
        <w:tblW w:w="10795" w:type="dxa"/>
        <w:tblLook w:val="0620" w:firstRow="1" w:lastRow="0" w:firstColumn="0" w:lastColumn="0" w:noHBand="1" w:noVBand="1"/>
      </w:tblPr>
      <w:tblGrid>
        <w:gridCol w:w="2875"/>
        <w:gridCol w:w="1620"/>
        <w:gridCol w:w="2610"/>
        <w:gridCol w:w="3690"/>
      </w:tblGrid>
      <w:tr w:rsidR="00B54560" w:rsidRPr="00CF6854" w14:paraId="6CA33EFF" w14:textId="77777777" w:rsidTr="00B33581">
        <w:trPr>
          <w:cnfStyle w:val="100000000000" w:firstRow="1" w:lastRow="0" w:firstColumn="0" w:lastColumn="0" w:oddVBand="0" w:evenVBand="0" w:oddHBand="0" w:evenHBand="0" w:firstRowFirstColumn="0" w:firstRowLastColumn="0" w:lastRowFirstColumn="0" w:lastRowLastColumn="0"/>
          <w:cantSplit/>
          <w:tblHeader/>
        </w:trPr>
        <w:tc>
          <w:tcPr>
            <w:tcW w:w="2875" w:type="dxa"/>
          </w:tcPr>
          <w:p w14:paraId="2544F7EE" w14:textId="77777777" w:rsidR="00B54560" w:rsidRPr="00CF6854" w:rsidRDefault="00B54560" w:rsidP="00B33581">
            <w:pPr>
              <w:rPr>
                <w:b w:val="0"/>
                <w:bCs w:val="0"/>
              </w:rPr>
            </w:pPr>
            <w:r w:rsidRPr="00CF6854">
              <w:t>Performance Indicator</w:t>
            </w:r>
          </w:p>
        </w:tc>
        <w:tc>
          <w:tcPr>
            <w:tcW w:w="1620" w:type="dxa"/>
          </w:tcPr>
          <w:p w14:paraId="61E839E7" w14:textId="77777777" w:rsidR="00B54560" w:rsidRPr="00CF6854" w:rsidRDefault="00B54560" w:rsidP="00B33581">
            <w:pPr>
              <w:rPr>
                <w:b w:val="0"/>
                <w:bCs w:val="0"/>
              </w:rPr>
            </w:pPr>
            <w:r w:rsidRPr="00CF6854">
              <w:t>Target (%)</w:t>
            </w:r>
          </w:p>
        </w:tc>
        <w:tc>
          <w:tcPr>
            <w:tcW w:w="2610" w:type="dxa"/>
          </w:tcPr>
          <w:p w14:paraId="638F5134" w14:textId="71FB67D7" w:rsidR="00B54560" w:rsidRPr="00CF6854" w:rsidRDefault="00B54560" w:rsidP="00B33581">
            <w:pPr>
              <w:rPr>
                <w:b w:val="0"/>
                <w:bCs w:val="0"/>
              </w:rPr>
            </w:pPr>
            <w:r w:rsidRPr="00CF6854">
              <w:t>Activities</w:t>
            </w:r>
          </w:p>
          <w:p w14:paraId="0C2B1182" w14:textId="77777777" w:rsidR="00B54560" w:rsidRPr="00CF6854" w:rsidRDefault="00B54560" w:rsidP="00B33581">
            <w:r w:rsidRPr="00CF6854">
              <w:t>Include those activities specifically chosen to influence the area addressed by the performance indicator</w:t>
            </w:r>
          </w:p>
        </w:tc>
        <w:tc>
          <w:tcPr>
            <w:tcW w:w="3690" w:type="dxa"/>
          </w:tcPr>
          <w:p w14:paraId="6B4B64FE" w14:textId="77777777" w:rsidR="00B54560" w:rsidRPr="00CF6854" w:rsidRDefault="00B54560" w:rsidP="00B33581">
            <w:pPr>
              <w:rPr>
                <w:b w:val="0"/>
                <w:bCs w:val="0"/>
              </w:rPr>
            </w:pPr>
            <w:r w:rsidRPr="00CF6854">
              <w:t xml:space="preserve">Data Source(s) and Evaluation Methods </w:t>
            </w:r>
          </w:p>
          <w:p w14:paraId="101ABBCC" w14:textId="22D7A45D" w:rsidR="00B54560" w:rsidRPr="00CF6854" w:rsidRDefault="00B54560" w:rsidP="00B33581">
            <w:r w:rsidRPr="00CF6854">
              <w:t>List all data sources used to examine this indicator: Ex:  report cards, program attendance data, student grade levels</w:t>
            </w:r>
          </w:p>
        </w:tc>
      </w:tr>
      <w:tr w:rsidR="00B54560" w:rsidRPr="00CF6854" w14:paraId="71D87011" w14:textId="77777777" w:rsidTr="00B33581">
        <w:trPr>
          <w:cantSplit/>
        </w:trPr>
        <w:tc>
          <w:tcPr>
            <w:tcW w:w="2875" w:type="dxa"/>
          </w:tcPr>
          <w:p w14:paraId="4DB4BE30" w14:textId="77777777" w:rsidR="00B54560" w:rsidRPr="00CF6854" w:rsidRDefault="00B54560" w:rsidP="00B33581">
            <w:r w:rsidRPr="00CF6854">
              <w:t>The percentage of elementary 21</w:t>
            </w:r>
            <w:r w:rsidRPr="00CF6854">
              <w:rPr>
                <w:vertAlign w:val="superscript"/>
              </w:rPr>
              <w:t>st</w:t>
            </w:r>
            <w:r w:rsidRPr="00CF6854">
              <w:t xml:space="preserve"> CCLC participants</w:t>
            </w:r>
            <w:r>
              <w:t>, as applicable to the grades the applicant intends to serve, having a prior year attendance rate below 90%</w:t>
            </w:r>
            <w:r w:rsidRPr="00CF6854">
              <w:t xml:space="preserve"> whose school-day attendance rate improved </w:t>
            </w:r>
            <w:r>
              <w:t>from the prior year to the current yea</w:t>
            </w:r>
            <w:r w:rsidRPr="00320C5A">
              <w:t>r.</w:t>
            </w:r>
          </w:p>
        </w:tc>
        <w:tc>
          <w:tcPr>
            <w:tcW w:w="1620" w:type="dxa"/>
          </w:tcPr>
          <w:p w14:paraId="29F11387" w14:textId="77777777" w:rsidR="00B54560" w:rsidRPr="00CF6854" w:rsidRDefault="00B54560" w:rsidP="00B33581"/>
        </w:tc>
        <w:tc>
          <w:tcPr>
            <w:tcW w:w="2610" w:type="dxa"/>
          </w:tcPr>
          <w:p w14:paraId="2086DE96" w14:textId="77777777" w:rsidR="00B54560" w:rsidRPr="00CF6854" w:rsidRDefault="00B54560" w:rsidP="00B33581"/>
        </w:tc>
        <w:tc>
          <w:tcPr>
            <w:tcW w:w="3690" w:type="dxa"/>
          </w:tcPr>
          <w:p w14:paraId="7115F156" w14:textId="77777777" w:rsidR="00B54560" w:rsidRPr="00CF6854" w:rsidRDefault="00B54560" w:rsidP="00B33581"/>
        </w:tc>
      </w:tr>
      <w:tr w:rsidR="00B54560" w:rsidRPr="00CF6854" w14:paraId="3B6036C5" w14:textId="77777777" w:rsidTr="00B33581">
        <w:trPr>
          <w:cantSplit/>
          <w:trHeight w:val="1628"/>
        </w:trPr>
        <w:tc>
          <w:tcPr>
            <w:tcW w:w="2875" w:type="dxa"/>
          </w:tcPr>
          <w:p w14:paraId="175037E3" w14:textId="77777777" w:rsidR="00B54560" w:rsidRPr="00CF6854" w:rsidRDefault="00B54560" w:rsidP="00B33581">
            <w:r w:rsidRPr="00CF6854">
              <w:t xml:space="preserve">The percentage of </w:t>
            </w:r>
            <w:r w:rsidRPr="00535E3E">
              <w:t>middle</w:t>
            </w:r>
            <w:r w:rsidRPr="00CF6854">
              <w:t xml:space="preserve"> </w:t>
            </w:r>
            <w:r>
              <w:t>and</w:t>
            </w:r>
            <w:r w:rsidRPr="00CF6854">
              <w:t xml:space="preserve"> high school 21</w:t>
            </w:r>
            <w:r w:rsidRPr="00CF6854">
              <w:rPr>
                <w:vertAlign w:val="superscript"/>
              </w:rPr>
              <w:t>st</w:t>
            </w:r>
            <w:r w:rsidRPr="00CF6854">
              <w:t xml:space="preserve"> CCLC participants</w:t>
            </w:r>
            <w:r>
              <w:t>, as applicable to the grades the applicant intends to serve,</w:t>
            </w:r>
            <w:r w:rsidRPr="00CF6854">
              <w:t xml:space="preserve"> </w:t>
            </w:r>
            <w:r>
              <w:t>having a prior year attendance rate below 90%</w:t>
            </w:r>
            <w:r w:rsidRPr="00CF6854">
              <w:t xml:space="preserve"> whose school-day attendance rate improved </w:t>
            </w:r>
            <w:r>
              <w:t>from the prior year to the current year.</w:t>
            </w:r>
          </w:p>
        </w:tc>
        <w:tc>
          <w:tcPr>
            <w:tcW w:w="1620" w:type="dxa"/>
          </w:tcPr>
          <w:p w14:paraId="7B7CAEBE" w14:textId="77777777" w:rsidR="00B54560" w:rsidRPr="00CF6854" w:rsidRDefault="00B54560" w:rsidP="00B33581"/>
        </w:tc>
        <w:tc>
          <w:tcPr>
            <w:tcW w:w="2610" w:type="dxa"/>
          </w:tcPr>
          <w:p w14:paraId="7948A076" w14:textId="77777777" w:rsidR="00B54560" w:rsidRPr="00CF6854" w:rsidRDefault="00B54560" w:rsidP="00B33581"/>
        </w:tc>
        <w:tc>
          <w:tcPr>
            <w:tcW w:w="3690" w:type="dxa"/>
          </w:tcPr>
          <w:p w14:paraId="7240CF5E" w14:textId="77777777" w:rsidR="00B54560" w:rsidRPr="00CF6854" w:rsidRDefault="00B54560" w:rsidP="00B33581"/>
        </w:tc>
      </w:tr>
    </w:tbl>
    <w:p w14:paraId="004B37ED" w14:textId="5FB903F0" w:rsidR="00A72AE3" w:rsidRDefault="00A72AE3">
      <w:pPr>
        <w:rPr>
          <w:rFonts w:eastAsia="Times New Roman" w:cs="Arial"/>
          <w:b/>
          <w:bCs/>
          <w:sz w:val="28"/>
          <w:szCs w:val="28"/>
        </w:rPr>
      </w:pPr>
    </w:p>
    <w:p w14:paraId="57D8EC72" w14:textId="77777777" w:rsidR="00A72AE3" w:rsidRDefault="00A72AE3">
      <w:pPr>
        <w:rPr>
          <w:rFonts w:eastAsia="Times New Roman" w:cs="Arial"/>
          <w:b/>
          <w:bCs/>
          <w:sz w:val="28"/>
          <w:szCs w:val="28"/>
        </w:rPr>
      </w:pPr>
      <w:r>
        <w:rPr>
          <w:rFonts w:eastAsia="Times New Roman" w:cs="Arial"/>
          <w:b/>
          <w:bCs/>
          <w:sz w:val="28"/>
          <w:szCs w:val="28"/>
        </w:rPr>
        <w:br w:type="page"/>
      </w:r>
    </w:p>
    <w:p w14:paraId="3FF51211" w14:textId="181BDF1E" w:rsidR="00A72AE3" w:rsidRDefault="00B33581" w:rsidP="00B33581">
      <w:pPr>
        <w:pStyle w:val="Heading1"/>
      </w:pPr>
      <w:r w:rsidRPr="00B54560">
        <w:lastRenderedPageBreak/>
        <w:t xml:space="preserve">GPRA </w:t>
      </w:r>
      <w:r>
        <w:t>Measure #4:</w:t>
      </w:r>
      <w:r w:rsidRPr="00B54560">
        <w:t xml:space="preserve"> </w:t>
      </w:r>
      <w:r>
        <w:t>In School Suspension</w:t>
      </w:r>
    </w:p>
    <w:p w14:paraId="7E3A3E51" w14:textId="77777777" w:rsidR="00946764" w:rsidRDefault="00B33581" w:rsidP="00B33581">
      <w:pPr>
        <w:rPr>
          <w:rFonts w:eastAsia="Times New Roman"/>
        </w:rPr>
      </w:pPr>
      <w:proofErr w:type="gramStart"/>
      <w:r w:rsidRPr="00B54560">
        <w:rPr>
          <w:rFonts w:eastAsia="Times New Roman"/>
        </w:rPr>
        <w:t>Percentage</w:t>
      </w:r>
      <w:proofErr w:type="gramEnd"/>
      <w:r w:rsidRPr="00B54560">
        <w:rPr>
          <w:rFonts w:eastAsia="Times New Roman"/>
        </w:rPr>
        <w:t xml:space="preserve"> of students grades 1 - 12 attending 21st CCLC programming during the school year and summer who experienced a decrease in in-school suspensions compared to the previous school year.</w:t>
      </w:r>
    </w:p>
    <w:p w14:paraId="1B75A80F" w14:textId="0EE984B4" w:rsidR="00B33581" w:rsidRDefault="00B33581" w:rsidP="00B33581">
      <w:r w:rsidRPr="00532B19">
        <w:rPr>
          <w:b/>
          <w:i/>
        </w:rPr>
        <w:t>How is growth determined?</w:t>
      </w:r>
      <w:r>
        <w:t xml:space="preserve">  State evaluators will examine </w:t>
      </w:r>
      <w:r w:rsidR="00604787">
        <w:t>changes</w:t>
      </w:r>
      <w:r>
        <w:t xml:space="preserve"> to in-school suspensions in terms of total volume of days of in-school suspension(s) for the prior year and participating year.  For the purposes of determining growth, evaluators will focus on duration of suspensions as this equates to time out of the regular learning environment and a potential disruption in a student’s education.  Time out of class/the regular learning environment may be more concerning than more frequent incidents of shorter duration.  </w:t>
      </w:r>
    </w:p>
    <w:tbl>
      <w:tblPr>
        <w:tblStyle w:val="GridTable4-Accent1"/>
        <w:tblW w:w="10795" w:type="dxa"/>
        <w:tblLook w:val="0620" w:firstRow="1" w:lastRow="0" w:firstColumn="0" w:lastColumn="0" w:noHBand="1" w:noVBand="1"/>
      </w:tblPr>
      <w:tblGrid>
        <w:gridCol w:w="2875"/>
        <w:gridCol w:w="1620"/>
        <w:gridCol w:w="2610"/>
        <w:gridCol w:w="3690"/>
      </w:tblGrid>
      <w:tr w:rsidR="00B54560" w:rsidRPr="00CF6854" w14:paraId="5DA19B5D" w14:textId="77777777" w:rsidTr="00A72AE3">
        <w:trPr>
          <w:cnfStyle w:val="100000000000" w:firstRow="1" w:lastRow="0" w:firstColumn="0" w:lastColumn="0" w:oddVBand="0" w:evenVBand="0" w:oddHBand="0" w:evenHBand="0" w:firstRowFirstColumn="0" w:firstRowLastColumn="0" w:lastRowFirstColumn="0" w:lastRowLastColumn="0"/>
          <w:cantSplit/>
          <w:tblHeader/>
        </w:trPr>
        <w:tc>
          <w:tcPr>
            <w:tcW w:w="2875" w:type="dxa"/>
          </w:tcPr>
          <w:p w14:paraId="41E025F4" w14:textId="77777777" w:rsidR="00B54560" w:rsidRPr="00CF6854" w:rsidRDefault="00B54560" w:rsidP="00B33581">
            <w:pPr>
              <w:rPr>
                <w:b w:val="0"/>
                <w:bCs w:val="0"/>
              </w:rPr>
            </w:pPr>
            <w:r w:rsidRPr="00CF6854">
              <w:t>Performance Indicator</w:t>
            </w:r>
          </w:p>
        </w:tc>
        <w:tc>
          <w:tcPr>
            <w:tcW w:w="1620" w:type="dxa"/>
          </w:tcPr>
          <w:p w14:paraId="4F1CD5B6" w14:textId="77777777" w:rsidR="00B54560" w:rsidRPr="00CF6854" w:rsidRDefault="00B54560" w:rsidP="00B33581">
            <w:pPr>
              <w:rPr>
                <w:b w:val="0"/>
                <w:bCs w:val="0"/>
              </w:rPr>
            </w:pPr>
            <w:r w:rsidRPr="00CF6854">
              <w:t>Target (%)</w:t>
            </w:r>
          </w:p>
        </w:tc>
        <w:tc>
          <w:tcPr>
            <w:tcW w:w="2610" w:type="dxa"/>
          </w:tcPr>
          <w:p w14:paraId="203F7951" w14:textId="77777777" w:rsidR="00B54560" w:rsidRPr="00CF6854" w:rsidRDefault="00B54560" w:rsidP="00B33581">
            <w:pPr>
              <w:rPr>
                <w:b w:val="0"/>
                <w:bCs w:val="0"/>
              </w:rPr>
            </w:pPr>
            <w:r w:rsidRPr="00CF6854">
              <w:t>Activities</w:t>
            </w:r>
          </w:p>
          <w:p w14:paraId="19A27D64" w14:textId="77777777" w:rsidR="00B54560" w:rsidRPr="00CF6854" w:rsidRDefault="00B54560" w:rsidP="00B33581">
            <w:r w:rsidRPr="00CF6854">
              <w:t>Include those activities specifically chosen to influence the area addressed by the performance indicator</w:t>
            </w:r>
          </w:p>
        </w:tc>
        <w:tc>
          <w:tcPr>
            <w:tcW w:w="3690" w:type="dxa"/>
          </w:tcPr>
          <w:p w14:paraId="09B133B5" w14:textId="77777777" w:rsidR="00B54560" w:rsidRPr="00CF6854" w:rsidRDefault="00B54560" w:rsidP="00B33581">
            <w:pPr>
              <w:rPr>
                <w:b w:val="0"/>
                <w:bCs w:val="0"/>
              </w:rPr>
            </w:pPr>
            <w:r w:rsidRPr="00CF6854">
              <w:t xml:space="preserve">Data Source(s) and Evaluation Methods </w:t>
            </w:r>
          </w:p>
          <w:p w14:paraId="6E195A14" w14:textId="77777777" w:rsidR="00B54560" w:rsidRPr="00CF6854" w:rsidRDefault="00B54560" w:rsidP="00B33581">
            <w:r w:rsidRPr="00CF6854">
              <w:t>List all data sources used to examine this indicator: Ex:  report cards, program attendance data, student grade levels</w:t>
            </w:r>
          </w:p>
        </w:tc>
      </w:tr>
      <w:tr w:rsidR="00B54560" w:rsidRPr="00CF6854" w14:paraId="2F3D6F67" w14:textId="77777777" w:rsidTr="00A72AE3">
        <w:trPr>
          <w:cantSplit/>
        </w:trPr>
        <w:tc>
          <w:tcPr>
            <w:tcW w:w="2875" w:type="dxa"/>
          </w:tcPr>
          <w:p w14:paraId="67327658" w14:textId="37C8A441" w:rsidR="00B54560" w:rsidRPr="00604787" w:rsidRDefault="00B54560" w:rsidP="00B33581">
            <w:r w:rsidRPr="00604787">
              <w:t>The percentage of elementary 21</w:t>
            </w:r>
            <w:r w:rsidRPr="00604787">
              <w:rPr>
                <w:vertAlign w:val="superscript"/>
              </w:rPr>
              <w:t>st</w:t>
            </w:r>
            <w:r w:rsidRPr="00604787">
              <w:t xml:space="preserve"> CCLC participants, as applicable to the grades the applicant intends to serve, who </w:t>
            </w:r>
            <w:r w:rsidRPr="00604787">
              <w:rPr>
                <w:rFonts w:eastAsia="Times New Roman"/>
              </w:rPr>
              <w:t>experienced a decrease in in-school suspensions compared to the previous school year.</w:t>
            </w:r>
          </w:p>
        </w:tc>
        <w:tc>
          <w:tcPr>
            <w:tcW w:w="1620" w:type="dxa"/>
          </w:tcPr>
          <w:p w14:paraId="15F30721" w14:textId="77777777" w:rsidR="00B54560" w:rsidRPr="00CF6854" w:rsidRDefault="00B54560" w:rsidP="00B33581"/>
        </w:tc>
        <w:tc>
          <w:tcPr>
            <w:tcW w:w="2610" w:type="dxa"/>
          </w:tcPr>
          <w:p w14:paraId="27654BD1" w14:textId="77777777" w:rsidR="00B54560" w:rsidRPr="00CF6854" w:rsidRDefault="00B54560" w:rsidP="00B33581"/>
        </w:tc>
        <w:tc>
          <w:tcPr>
            <w:tcW w:w="3690" w:type="dxa"/>
          </w:tcPr>
          <w:p w14:paraId="741A47B2" w14:textId="77777777" w:rsidR="00B54560" w:rsidRPr="00CF6854" w:rsidRDefault="00B54560" w:rsidP="00B33581"/>
        </w:tc>
      </w:tr>
      <w:tr w:rsidR="00B54560" w:rsidRPr="00CF6854" w14:paraId="2531D149" w14:textId="77777777" w:rsidTr="00A72AE3">
        <w:trPr>
          <w:cantSplit/>
          <w:trHeight w:val="2402"/>
        </w:trPr>
        <w:tc>
          <w:tcPr>
            <w:tcW w:w="2875" w:type="dxa"/>
          </w:tcPr>
          <w:p w14:paraId="66299246" w14:textId="27522E14" w:rsidR="00B54560" w:rsidRPr="00604787" w:rsidRDefault="00B54560" w:rsidP="00B33581">
            <w:r w:rsidRPr="00604787">
              <w:t>The percentage of middle and high school 21</w:t>
            </w:r>
            <w:r w:rsidRPr="00604787">
              <w:rPr>
                <w:vertAlign w:val="superscript"/>
              </w:rPr>
              <w:t>st</w:t>
            </w:r>
            <w:r w:rsidRPr="00604787">
              <w:t xml:space="preserve"> CCLC participants, as applicable to the grades the applicant intends to serve, </w:t>
            </w:r>
            <w:r w:rsidRPr="00604787">
              <w:rPr>
                <w:rFonts w:eastAsia="Times New Roman"/>
              </w:rPr>
              <w:t>who experienced a decrease in in-school suspensions compared to the previous school year.</w:t>
            </w:r>
          </w:p>
        </w:tc>
        <w:tc>
          <w:tcPr>
            <w:tcW w:w="1620" w:type="dxa"/>
          </w:tcPr>
          <w:p w14:paraId="63DD6FCE" w14:textId="77777777" w:rsidR="00B54560" w:rsidRPr="00CF6854" w:rsidRDefault="00B54560" w:rsidP="00B33581"/>
        </w:tc>
        <w:tc>
          <w:tcPr>
            <w:tcW w:w="2610" w:type="dxa"/>
          </w:tcPr>
          <w:p w14:paraId="41170CA6" w14:textId="77777777" w:rsidR="00B54560" w:rsidRPr="00CF6854" w:rsidRDefault="00B54560" w:rsidP="00B33581"/>
        </w:tc>
        <w:tc>
          <w:tcPr>
            <w:tcW w:w="3690" w:type="dxa"/>
          </w:tcPr>
          <w:p w14:paraId="2C4D1BD7" w14:textId="77777777" w:rsidR="00B54560" w:rsidRPr="00CF6854" w:rsidRDefault="00B54560" w:rsidP="00B33581"/>
        </w:tc>
      </w:tr>
    </w:tbl>
    <w:p w14:paraId="68AA3D21" w14:textId="5136302F" w:rsidR="00A72AE3" w:rsidRDefault="00A72AE3" w:rsidP="00B54560"/>
    <w:p w14:paraId="26E352F8" w14:textId="77777777" w:rsidR="00A72AE3" w:rsidRDefault="00A72AE3">
      <w:r>
        <w:br w:type="page"/>
      </w:r>
    </w:p>
    <w:p w14:paraId="080B17CA" w14:textId="3A368D90" w:rsidR="00B33581" w:rsidRDefault="00B33581" w:rsidP="00B33581">
      <w:pPr>
        <w:pStyle w:val="Heading1"/>
      </w:pPr>
      <w:r w:rsidRPr="00535E3E">
        <w:lastRenderedPageBreak/>
        <w:t>GPRA M</w:t>
      </w:r>
      <w:r>
        <w:t>easure</w:t>
      </w:r>
      <w:r w:rsidRPr="00535E3E">
        <w:t xml:space="preserve"> #5- </w:t>
      </w:r>
      <w:r>
        <w:t>Student Engagement in Learning</w:t>
      </w:r>
    </w:p>
    <w:p w14:paraId="0A4D3253" w14:textId="77777777" w:rsidR="00946764" w:rsidRDefault="00B33581" w:rsidP="00B33581">
      <w:pPr>
        <w:rPr>
          <w:rFonts w:eastAsia="Times New Roman"/>
        </w:rPr>
      </w:pPr>
      <w:proofErr w:type="gramStart"/>
      <w:r w:rsidRPr="00535E3E">
        <w:rPr>
          <w:rFonts w:eastAsia="Times New Roman"/>
        </w:rPr>
        <w:t>Percentage</w:t>
      </w:r>
      <w:proofErr w:type="gramEnd"/>
      <w:r w:rsidRPr="00535E3E">
        <w:rPr>
          <w:rFonts w:eastAsia="Times New Roman"/>
        </w:rPr>
        <w:t xml:space="preserve"> of students in grades 1–5 participating in 21st CCLC programming in the school year and summer who demonstrated an improvement in teacher-reported engagement in learning.</w:t>
      </w:r>
    </w:p>
    <w:p w14:paraId="4E9045AF" w14:textId="77777777" w:rsidR="00B33581" w:rsidRPr="007A0179" w:rsidRDefault="00B33581" w:rsidP="00B33581">
      <w:r w:rsidRPr="00532B19">
        <w:rPr>
          <w:b/>
          <w:i/>
        </w:rPr>
        <w:t>How is growth determined?</w:t>
      </w:r>
      <w:r>
        <w:t xml:space="preserve"> Teachers will select one of four change categories for each student: did not need to improve, improved, no change, and declined.  The teacher may choose the level of change based on their professional observation of the child’s performance in their classroom.</w:t>
      </w:r>
    </w:p>
    <w:tbl>
      <w:tblPr>
        <w:tblStyle w:val="GridTable4-Accent1"/>
        <w:tblW w:w="10795" w:type="dxa"/>
        <w:tblLook w:val="0620" w:firstRow="1" w:lastRow="0" w:firstColumn="0" w:lastColumn="0" w:noHBand="1" w:noVBand="1"/>
      </w:tblPr>
      <w:tblGrid>
        <w:gridCol w:w="2875"/>
        <w:gridCol w:w="1620"/>
        <w:gridCol w:w="2610"/>
        <w:gridCol w:w="3690"/>
      </w:tblGrid>
      <w:tr w:rsidR="00B54560" w:rsidRPr="00CF6854" w14:paraId="1A8D37DD" w14:textId="77777777" w:rsidTr="00A72AE3">
        <w:trPr>
          <w:cnfStyle w:val="100000000000" w:firstRow="1" w:lastRow="0" w:firstColumn="0" w:lastColumn="0" w:oddVBand="0" w:evenVBand="0" w:oddHBand="0" w:evenHBand="0" w:firstRowFirstColumn="0" w:firstRowLastColumn="0" w:lastRowFirstColumn="0" w:lastRowLastColumn="0"/>
          <w:cantSplit/>
          <w:tblHeader/>
        </w:trPr>
        <w:tc>
          <w:tcPr>
            <w:tcW w:w="2875" w:type="dxa"/>
          </w:tcPr>
          <w:p w14:paraId="33BD5D94" w14:textId="77777777" w:rsidR="00B54560" w:rsidRPr="00CF6854" w:rsidRDefault="00B54560" w:rsidP="00B33581">
            <w:pPr>
              <w:rPr>
                <w:b w:val="0"/>
                <w:bCs w:val="0"/>
              </w:rPr>
            </w:pPr>
            <w:r w:rsidRPr="00CF6854">
              <w:t>Performance Indicator</w:t>
            </w:r>
          </w:p>
        </w:tc>
        <w:tc>
          <w:tcPr>
            <w:tcW w:w="1620" w:type="dxa"/>
          </w:tcPr>
          <w:p w14:paraId="02BBCC43" w14:textId="77777777" w:rsidR="00B54560" w:rsidRPr="00CF6854" w:rsidRDefault="00B54560" w:rsidP="00B33581">
            <w:pPr>
              <w:rPr>
                <w:b w:val="0"/>
                <w:bCs w:val="0"/>
              </w:rPr>
            </w:pPr>
            <w:r w:rsidRPr="00CF6854">
              <w:t>Target (%)</w:t>
            </w:r>
          </w:p>
        </w:tc>
        <w:tc>
          <w:tcPr>
            <w:tcW w:w="2610" w:type="dxa"/>
          </w:tcPr>
          <w:p w14:paraId="7997E37A" w14:textId="77777777" w:rsidR="00B54560" w:rsidRPr="00CF6854" w:rsidRDefault="00B54560" w:rsidP="00B33581">
            <w:pPr>
              <w:rPr>
                <w:b w:val="0"/>
                <w:bCs w:val="0"/>
              </w:rPr>
            </w:pPr>
            <w:r w:rsidRPr="00CF6854">
              <w:t>Activities</w:t>
            </w:r>
          </w:p>
          <w:p w14:paraId="134851E0" w14:textId="77777777" w:rsidR="00B54560" w:rsidRPr="00CF6854" w:rsidRDefault="00B54560" w:rsidP="00B33581">
            <w:r w:rsidRPr="00CF6854">
              <w:t>Include those activities specifically chosen to influence the area addressed by the performance indicator</w:t>
            </w:r>
          </w:p>
        </w:tc>
        <w:tc>
          <w:tcPr>
            <w:tcW w:w="3690" w:type="dxa"/>
          </w:tcPr>
          <w:p w14:paraId="29962340" w14:textId="77777777" w:rsidR="00B54560" w:rsidRPr="00CF6854" w:rsidRDefault="00B54560" w:rsidP="00B33581">
            <w:pPr>
              <w:rPr>
                <w:b w:val="0"/>
                <w:bCs w:val="0"/>
              </w:rPr>
            </w:pPr>
            <w:r w:rsidRPr="00CF6854">
              <w:t xml:space="preserve">Data Source(s) and Evaluation Methods </w:t>
            </w:r>
          </w:p>
          <w:p w14:paraId="7FFFFCAB" w14:textId="7FD325D6" w:rsidR="00B54560" w:rsidRPr="00CF6854" w:rsidRDefault="00B54560" w:rsidP="00B33581">
            <w:r w:rsidRPr="00CF6854">
              <w:t>List all data sources used to examine this indicator: Ex:  Teacher Survey, student program attendance, student grade levels</w:t>
            </w:r>
          </w:p>
        </w:tc>
      </w:tr>
      <w:tr w:rsidR="00B54560" w:rsidRPr="00CF6854" w14:paraId="30F3BDFC" w14:textId="77777777" w:rsidTr="00A72AE3">
        <w:trPr>
          <w:cantSplit/>
        </w:trPr>
        <w:tc>
          <w:tcPr>
            <w:tcW w:w="2875" w:type="dxa"/>
          </w:tcPr>
          <w:p w14:paraId="7C279A56" w14:textId="5F92CFC7" w:rsidR="00B54560" w:rsidRPr="00604787" w:rsidRDefault="00B54560" w:rsidP="00A72AE3">
            <w:r w:rsidRPr="00604787">
              <w:t>The percentage of elementary 21</w:t>
            </w:r>
            <w:r w:rsidRPr="00604787">
              <w:rPr>
                <w:vertAlign w:val="superscript"/>
              </w:rPr>
              <w:t>st</w:t>
            </w:r>
            <w:r w:rsidRPr="00604787">
              <w:t xml:space="preserve"> CCLC participants, as applicable to the grades the applicant intends to serve, who</w:t>
            </w:r>
            <w:r w:rsidRPr="00604787">
              <w:rPr>
                <w:rFonts w:eastAsia="Times New Roman"/>
              </w:rPr>
              <w:t xml:space="preserve"> demonstrated an improvement in teacher-reported engagement in learning.</w:t>
            </w:r>
          </w:p>
        </w:tc>
        <w:tc>
          <w:tcPr>
            <w:tcW w:w="1620" w:type="dxa"/>
          </w:tcPr>
          <w:p w14:paraId="1658C291" w14:textId="77777777" w:rsidR="00B54560" w:rsidRPr="00CF6854" w:rsidRDefault="00B54560" w:rsidP="00B33581"/>
        </w:tc>
        <w:tc>
          <w:tcPr>
            <w:tcW w:w="2610" w:type="dxa"/>
          </w:tcPr>
          <w:p w14:paraId="662CE8C0" w14:textId="77777777" w:rsidR="00B54560" w:rsidRPr="00CF6854" w:rsidRDefault="00B54560" w:rsidP="00B33581"/>
        </w:tc>
        <w:tc>
          <w:tcPr>
            <w:tcW w:w="3690" w:type="dxa"/>
          </w:tcPr>
          <w:p w14:paraId="20C7ED9F" w14:textId="77777777" w:rsidR="00B54560" w:rsidRPr="00CF6854" w:rsidRDefault="00B54560" w:rsidP="00B33581"/>
        </w:tc>
      </w:tr>
    </w:tbl>
    <w:p w14:paraId="572E4FE1" w14:textId="52128EF9" w:rsidR="00A72AE3" w:rsidRDefault="00A72AE3" w:rsidP="00B54560"/>
    <w:p w14:paraId="2D03C817" w14:textId="77777777" w:rsidR="00A72AE3" w:rsidRDefault="00A72AE3">
      <w:r>
        <w:br w:type="page"/>
      </w:r>
    </w:p>
    <w:p w14:paraId="7BA9638F" w14:textId="17238DBA" w:rsidR="00B33581" w:rsidRDefault="00B33581" w:rsidP="00B33581">
      <w:pPr>
        <w:pStyle w:val="Heading1"/>
      </w:pPr>
      <w:r>
        <w:lastRenderedPageBreak/>
        <w:t>State Measure</w:t>
      </w:r>
      <w:r w:rsidRPr="00535E3E">
        <w:t xml:space="preserve"> #6- </w:t>
      </w:r>
      <w:r>
        <w:t>Family Literacy and Involvement</w:t>
      </w:r>
    </w:p>
    <w:p w14:paraId="7B641413" w14:textId="77B52716" w:rsidR="00B54560" w:rsidRDefault="00B33581" w:rsidP="00B33581">
      <w:r w:rsidRPr="00535E3E">
        <w:rPr>
          <w:rFonts w:eastAsia="Times New Roman"/>
        </w:rPr>
        <w:t>Number or percentage of families of participating students who participate in family literacy and involvement activities.</w:t>
      </w:r>
    </w:p>
    <w:tbl>
      <w:tblPr>
        <w:tblStyle w:val="GridTable4-Accent1"/>
        <w:tblW w:w="10795" w:type="dxa"/>
        <w:tblLook w:val="0620" w:firstRow="1" w:lastRow="0" w:firstColumn="0" w:lastColumn="0" w:noHBand="1" w:noVBand="1"/>
      </w:tblPr>
      <w:tblGrid>
        <w:gridCol w:w="2875"/>
        <w:gridCol w:w="1530"/>
        <w:gridCol w:w="2700"/>
        <w:gridCol w:w="3690"/>
      </w:tblGrid>
      <w:tr w:rsidR="00B54560" w:rsidRPr="00CF6854" w14:paraId="60B53F00" w14:textId="77777777" w:rsidTr="00A72AE3">
        <w:trPr>
          <w:cnfStyle w:val="100000000000" w:firstRow="1" w:lastRow="0" w:firstColumn="0" w:lastColumn="0" w:oddVBand="0" w:evenVBand="0" w:oddHBand="0" w:evenHBand="0" w:firstRowFirstColumn="0" w:firstRowLastColumn="0" w:lastRowFirstColumn="0" w:lastRowLastColumn="0"/>
          <w:cantSplit/>
          <w:tblHeader/>
        </w:trPr>
        <w:tc>
          <w:tcPr>
            <w:tcW w:w="2875" w:type="dxa"/>
          </w:tcPr>
          <w:p w14:paraId="123E28F6" w14:textId="77777777" w:rsidR="00B54560" w:rsidRPr="00CF6854" w:rsidRDefault="00B54560" w:rsidP="00B33581">
            <w:r w:rsidRPr="00CF6854">
              <w:t>Performance Indicator</w:t>
            </w:r>
          </w:p>
        </w:tc>
        <w:tc>
          <w:tcPr>
            <w:tcW w:w="1530" w:type="dxa"/>
          </w:tcPr>
          <w:p w14:paraId="75B62474" w14:textId="77777777" w:rsidR="00B54560" w:rsidRPr="00CF6854" w:rsidRDefault="00B54560" w:rsidP="00B33581">
            <w:r w:rsidRPr="00CF6854">
              <w:t>Target (</w:t>
            </w:r>
            <w:r>
              <w:t xml:space="preserve"># OR </w:t>
            </w:r>
            <w:r w:rsidRPr="00CF6854">
              <w:t>%)</w:t>
            </w:r>
          </w:p>
        </w:tc>
        <w:tc>
          <w:tcPr>
            <w:tcW w:w="2700" w:type="dxa"/>
          </w:tcPr>
          <w:p w14:paraId="67A17418" w14:textId="77777777" w:rsidR="00B54560" w:rsidRPr="00CF6854" w:rsidRDefault="00B54560" w:rsidP="00B33581">
            <w:r w:rsidRPr="00CF6854">
              <w:t>Activities</w:t>
            </w:r>
          </w:p>
          <w:p w14:paraId="7F63E71D" w14:textId="77777777" w:rsidR="00B54560" w:rsidRPr="00CF6854" w:rsidRDefault="00B54560" w:rsidP="00B33581">
            <w:r w:rsidRPr="00CF6854">
              <w:t>Include those activities specifically chosen to influence the area addressed by the performance indicator</w:t>
            </w:r>
          </w:p>
        </w:tc>
        <w:tc>
          <w:tcPr>
            <w:tcW w:w="3690" w:type="dxa"/>
          </w:tcPr>
          <w:p w14:paraId="240365F8" w14:textId="77777777" w:rsidR="00B54560" w:rsidRPr="00CF6854" w:rsidRDefault="00B54560" w:rsidP="00B33581">
            <w:r w:rsidRPr="00CF6854">
              <w:t xml:space="preserve">Data Source(s) and Evaluation Methods </w:t>
            </w:r>
          </w:p>
          <w:p w14:paraId="33370485" w14:textId="316B9431" w:rsidR="00B54560" w:rsidRPr="00CF6854" w:rsidRDefault="00B54560" w:rsidP="00B33581">
            <w:r w:rsidRPr="00CF6854">
              <w:t>List all data sources used to examine this indicator: Ex:  Teacher Survey, student program attendance, student grade levels</w:t>
            </w:r>
          </w:p>
        </w:tc>
      </w:tr>
      <w:tr w:rsidR="00B54560" w:rsidRPr="00CF6854" w14:paraId="3072257A" w14:textId="77777777" w:rsidTr="00A72AE3">
        <w:trPr>
          <w:cantSplit/>
        </w:trPr>
        <w:tc>
          <w:tcPr>
            <w:tcW w:w="2875" w:type="dxa"/>
          </w:tcPr>
          <w:p w14:paraId="243ED74A" w14:textId="77777777" w:rsidR="00B54560" w:rsidRDefault="00B54560" w:rsidP="00B33581">
            <w:pPr>
              <w:rPr>
                <w:bCs/>
              </w:rPr>
            </w:pPr>
            <w:r w:rsidRPr="00CF6854">
              <w:t xml:space="preserve">The </w:t>
            </w:r>
            <w:r>
              <w:t xml:space="preserve">[number OR </w:t>
            </w:r>
            <w:r w:rsidRPr="00CF6854">
              <w:t>percentage</w:t>
            </w:r>
            <w:r>
              <w:t>]</w:t>
            </w:r>
            <w:r w:rsidRPr="00CF6854">
              <w:t xml:space="preserve"> of </w:t>
            </w:r>
            <w:r>
              <w:rPr>
                <w:b/>
                <w:bCs/>
              </w:rPr>
              <w:t>families</w:t>
            </w:r>
            <w:r w:rsidRPr="00E84A68">
              <w:rPr>
                <w:bCs/>
              </w:rPr>
              <w:t xml:space="preserve"> of participating students who participate in family literacy activities.</w:t>
            </w:r>
          </w:p>
          <w:p w14:paraId="19D60821" w14:textId="77777777" w:rsidR="00B54560" w:rsidRDefault="00B54560" w:rsidP="00B33581">
            <w:pPr>
              <w:rPr>
                <w:bCs/>
              </w:rPr>
            </w:pPr>
          </w:p>
          <w:p w14:paraId="43029016" w14:textId="77777777" w:rsidR="00B54560" w:rsidRDefault="00B54560" w:rsidP="00B33581">
            <w:pPr>
              <w:rPr>
                <w:bCs/>
              </w:rPr>
            </w:pPr>
            <w:r>
              <w:rPr>
                <w:bCs/>
              </w:rPr>
              <w:t>OR</w:t>
            </w:r>
          </w:p>
          <w:p w14:paraId="545E7B60" w14:textId="77777777" w:rsidR="00B54560" w:rsidRDefault="00B54560" w:rsidP="00B33581">
            <w:pPr>
              <w:rPr>
                <w:bCs/>
              </w:rPr>
            </w:pPr>
          </w:p>
          <w:p w14:paraId="47AFF47B" w14:textId="77777777" w:rsidR="00B54560" w:rsidRPr="00CF6854" w:rsidRDefault="00B54560" w:rsidP="00B33581">
            <w:r w:rsidRPr="00CF6854">
              <w:t xml:space="preserve">The </w:t>
            </w:r>
            <w:r>
              <w:t xml:space="preserve">[number OR </w:t>
            </w:r>
            <w:r w:rsidRPr="00CF6854">
              <w:t>percentage</w:t>
            </w:r>
            <w:r>
              <w:t>]</w:t>
            </w:r>
            <w:r w:rsidRPr="00CF6854">
              <w:t xml:space="preserve"> of </w:t>
            </w:r>
            <w:r>
              <w:rPr>
                <w:b/>
                <w:bCs/>
              </w:rPr>
              <w:t>parents</w:t>
            </w:r>
            <w:r w:rsidRPr="00E84A68">
              <w:rPr>
                <w:bCs/>
              </w:rPr>
              <w:t xml:space="preserve"> of participating students who participate in family literacy activities.</w:t>
            </w:r>
          </w:p>
        </w:tc>
        <w:tc>
          <w:tcPr>
            <w:tcW w:w="1530" w:type="dxa"/>
          </w:tcPr>
          <w:p w14:paraId="4442EE05" w14:textId="77777777" w:rsidR="00B54560" w:rsidRPr="00CF6854" w:rsidRDefault="00B54560" w:rsidP="00B33581"/>
        </w:tc>
        <w:tc>
          <w:tcPr>
            <w:tcW w:w="2700" w:type="dxa"/>
          </w:tcPr>
          <w:p w14:paraId="56B21FC4" w14:textId="77777777" w:rsidR="00B54560" w:rsidRPr="00CF6854" w:rsidRDefault="00B54560" w:rsidP="00B33581"/>
        </w:tc>
        <w:tc>
          <w:tcPr>
            <w:tcW w:w="3690" w:type="dxa"/>
          </w:tcPr>
          <w:p w14:paraId="70ACCE45" w14:textId="77777777" w:rsidR="00B54560" w:rsidRPr="00CF6854" w:rsidRDefault="00B54560" w:rsidP="00B33581"/>
        </w:tc>
      </w:tr>
      <w:tr w:rsidR="00B54560" w14:paraId="05C90F56" w14:textId="77777777" w:rsidTr="00A72AE3">
        <w:trPr>
          <w:cantSplit/>
        </w:trPr>
        <w:tc>
          <w:tcPr>
            <w:tcW w:w="2875" w:type="dxa"/>
          </w:tcPr>
          <w:p w14:paraId="26148F44" w14:textId="77777777" w:rsidR="00B54560" w:rsidRDefault="00B54560" w:rsidP="00B33581">
            <w:pPr>
              <w:rPr>
                <w:bCs/>
              </w:rPr>
            </w:pPr>
            <w:r w:rsidRPr="00CF6854">
              <w:t xml:space="preserve">The </w:t>
            </w:r>
            <w:r>
              <w:t xml:space="preserve">[number OR </w:t>
            </w:r>
            <w:r w:rsidRPr="00CF6854">
              <w:t>percentage</w:t>
            </w:r>
            <w:r>
              <w:t>]</w:t>
            </w:r>
            <w:r w:rsidRPr="00CF6854">
              <w:t xml:space="preserve"> of </w:t>
            </w:r>
            <w:r>
              <w:rPr>
                <w:b/>
                <w:bCs/>
              </w:rPr>
              <w:t>families</w:t>
            </w:r>
            <w:r w:rsidRPr="00E84A68">
              <w:rPr>
                <w:bCs/>
              </w:rPr>
              <w:t xml:space="preserve"> of participating students who participate in family </w:t>
            </w:r>
            <w:r>
              <w:rPr>
                <w:bCs/>
              </w:rPr>
              <w:t>engagement activities</w:t>
            </w:r>
            <w:r w:rsidRPr="00E84A68">
              <w:rPr>
                <w:bCs/>
              </w:rPr>
              <w:t>.</w:t>
            </w:r>
          </w:p>
          <w:p w14:paraId="7DC8E44A" w14:textId="77777777" w:rsidR="00B54560" w:rsidRDefault="00B54560" w:rsidP="00B33581">
            <w:pPr>
              <w:rPr>
                <w:bCs/>
              </w:rPr>
            </w:pPr>
          </w:p>
          <w:p w14:paraId="1EEADAC1" w14:textId="77777777" w:rsidR="00B54560" w:rsidRDefault="00B54560" w:rsidP="00B33581">
            <w:pPr>
              <w:rPr>
                <w:bCs/>
              </w:rPr>
            </w:pPr>
            <w:r>
              <w:rPr>
                <w:bCs/>
              </w:rPr>
              <w:t>OR</w:t>
            </w:r>
          </w:p>
          <w:p w14:paraId="32D6D8EF" w14:textId="77777777" w:rsidR="00B54560" w:rsidRDefault="00B54560" w:rsidP="00B33581">
            <w:pPr>
              <w:rPr>
                <w:bCs/>
              </w:rPr>
            </w:pPr>
          </w:p>
          <w:p w14:paraId="774D12DA" w14:textId="77777777" w:rsidR="00B54560" w:rsidRDefault="00B54560" w:rsidP="00B33581">
            <w:r w:rsidRPr="00CF6854">
              <w:t xml:space="preserve">The </w:t>
            </w:r>
            <w:r>
              <w:t xml:space="preserve">[number OR </w:t>
            </w:r>
            <w:r w:rsidRPr="00CF6854">
              <w:t>percentage</w:t>
            </w:r>
            <w:r>
              <w:t>]</w:t>
            </w:r>
            <w:r w:rsidRPr="00CF6854">
              <w:t xml:space="preserve"> of </w:t>
            </w:r>
            <w:r>
              <w:rPr>
                <w:b/>
                <w:bCs/>
              </w:rPr>
              <w:t>parents</w:t>
            </w:r>
            <w:r w:rsidRPr="00E84A68">
              <w:rPr>
                <w:bCs/>
              </w:rPr>
              <w:t xml:space="preserve"> of participating students who participate in family </w:t>
            </w:r>
            <w:r>
              <w:rPr>
                <w:bCs/>
              </w:rPr>
              <w:t>engagement</w:t>
            </w:r>
            <w:r w:rsidRPr="00E84A68">
              <w:rPr>
                <w:bCs/>
              </w:rPr>
              <w:t xml:space="preserve"> activities.</w:t>
            </w:r>
          </w:p>
        </w:tc>
        <w:tc>
          <w:tcPr>
            <w:tcW w:w="1530" w:type="dxa"/>
          </w:tcPr>
          <w:p w14:paraId="62D920B7" w14:textId="77777777" w:rsidR="00B54560" w:rsidRDefault="00B54560" w:rsidP="00B33581"/>
        </w:tc>
        <w:tc>
          <w:tcPr>
            <w:tcW w:w="2700" w:type="dxa"/>
          </w:tcPr>
          <w:p w14:paraId="3EC8FF7F" w14:textId="77777777" w:rsidR="00B54560" w:rsidRDefault="00B54560" w:rsidP="00B33581"/>
        </w:tc>
        <w:tc>
          <w:tcPr>
            <w:tcW w:w="3690" w:type="dxa"/>
          </w:tcPr>
          <w:p w14:paraId="2134E886" w14:textId="77777777" w:rsidR="00B54560" w:rsidRDefault="00B54560" w:rsidP="00B33581"/>
        </w:tc>
      </w:tr>
    </w:tbl>
    <w:p w14:paraId="66253951" w14:textId="77777777" w:rsidR="00B54560" w:rsidRDefault="00B54560" w:rsidP="00B54560"/>
    <w:p w14:paraId="39364296" w14:textId="71A5403E" w:rsidR="00B54560" w:rsidRDefault="00B54560" w:rsidP="00B54560"/>
    <w:p w14:paraId="6B9E7CDD" w14:textId="3A290B51" w:rsidR="00B54560" w:rsidRDefault="00B54560" w:rsidP="00B54560"/>
    <w:p w14:paraId="53A404F5" w14:textId="565EFF5F" w:rsidR="00B54560" w:rsidRDefault="00B54560" w:rsidP="00B54560"/>
    <w:p w14:paraId="1577CD96" w14:textId="3016A073" w:rsidR="00B54560" w:rsidRDefault="00B54560" w:rsidP="00B54560"/>
    <w:p w14:paraId="6F163504" w14:textId="41FCC11B" w:rsidR="00B54560" w:rsidRDefault="00B54560" w:rsidP="00B54560"/>
    <w:p w14:paraId="1888FCF5" w14:textId="5A5CF5CE" w:rsidR="00B54560" w:rsidRDefault="00B54560" w:rsidP="00B54560"/>
    <w:p w14:paraId="3B4EBF85" w14:textId="5716296E" w:rsidR="00B54560" w:rsidRDefault="00B54560" w:rsidP="00B54560"/>
    <w:p w14:paraId="0840522E" w14:textId="77777777" w:rsidR="00B54560" w:rsidRPr="00B54560" w:rsidRDefault="00B54560" w:rsidP="00B54560"/>
    <w:sectPr w:rsidR="00B54560" w:rsidRPr="00B54560" w:rsidSect="00B33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F751F"/>
    <w:multiLevelType w:val="hybridMultilevel"/>
    <w:tmpl w:val="D59A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6D0431"/>
    <w:multiLevelType w:val="hybridMultilevel"/>
    <w:tmpl w:val="FB32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4457AF"/>
    <w:multiLevelType w:val="hybridMultilevel"/>
    <w:tmpl w:val="13F63D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B0C38"/>
    <w:multiLevelType w:val="hybridMultilevel"/>
    <w:tmpl w:val="ECCACA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645609">
    <w:abstractNumId w:val="0"/>
  </w:num>
  <w:num w:numId="2" w16cid:durableId="2065367304">
    <w:abstractNumId w:val="1"/>
  </w:num>
  <w:num w:numId="3" w16cid:durableId="162595648">
    <w:abstractNumId w:val="2"/>
  </w:num>
  <w:num w:numId="4" w16cid:durableId="1372002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560"/>
    <w:rsid w:val="00082FD8"/>
    <w:rsid w:val="00135B48"/>
    <w:rsid w:val="00203F73"/>
    <w:rsid w:val="00487C00"/>
    <w:rsid w:val="00604787"/>
    <w:rsid w:val="006B37D2"/>
    <w:rsid w:val="007A0179"/>
    <w:rsid w:val="007A01BA"/>
    <w:rsid w:val="00946764"/>
    <w:rsid w:val="00A72AE3"/>
    <w:rsid w:val="00B33581"/>
    <w:rsid w:val="00B54560"/>
    <w:rsid w:val="00BA442E"/>
    <w:rsid w:val="00D57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1768"/>
  <w15:chartTrackingRefBased/>
  <w15:docId w15:val="{93BE54AC-75FA-4145-916F-1823526A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81"/>
    <w:rPr>
      <w:rFonts w:ascii="Arial" w:hAnsi="Arial"/>
    </w:rPr>
  </w:style>
  <w:style w:type="paragraph" w:styleId="Heading1">
    <w:name w:val="heading 1"/>
    <w:basedOn w:val="Normal"/>
    <w:next w:val="Normal"/>
    <w:link w:val="Heading1Char"/>
    <w:uiPriority w:val="9"/>
    <w:qFormat/>
    <w:rsid w:val="00B33581"/>
    <w:pPr>
      <w:shd w:val="clear" w:color="auto" w:fill="F7CAAC" w:themeFill="accent2" w:themeFillTint="66"/>
      <w:spacing w:before="480" w:after="240"/>
      <w:contextualSpacing/>
      <w:outlineLvl w:val="0"/>
    </w:pPr>
    <w:rPr>
      <w:rFonts w:eastAsia="Times New Roman" w:cs="Arial"/>
      <w:b/>
      <w:bCs/>
      <w:sz w:val="28"/>
      <w:szCs w:val="28"/>
    </w:rPr>
  </w:style>
  <w:style w:type="paragraph" w:styleId="Heading2">
    <w:name w:val="heading 2"/>
    <w:basedOn w:val="Normal"/>
    <w:next w:val="Normal"/>
    <w:link w:val="Heading2Char"/>
    <w:uiPriority w:val="9"/>
    <w:semiHidden/>
    <w:unhideWhenUsed/>
    <w:qFormat/>
    <w:rsid w:val="00B33581"/>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semiHidden/>
    <w:unhideWhenUsed/>
    <w:qFormat/>
    <w:rsid w:val="00B33581"/>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B3358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358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358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58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58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58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4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3581"/>
    <w:pPr>
      <w:ind w:left="720"/>
      <w:contextualSpacing/>
    </w:pPr>
  </w:style>
  <w:style w:type="paragraph" w:customStyle="1" w:styleId="PDEStyles">
    <w:name w:val="PDE Styles"/>
    <w:basedOn w:val="Normal"/>
    <w:link w:val="PDEStylesChar"/>
    <w:qFormat/>
    <w:rsid w:val="00B33581"/>
    <w:pPr>
      <w:jc w:val="center"/>
    </w:pPr>
    <w:rPr>
      <w:sz w:val="32"/>
      <w:szCs w:val="32"/>
    </w:rPr>
  </w:style>
  <w:style w:type="character" w:customStyle="1" w:styleId="PDEStylesChar">
    <w:name w:val="PDE Styles Char"/>
    <w:basedOn w:val="DefaultParagraphFont"/>
    <w:link w:val="PDEStyles"/>
    <w:rsid w:val="00B33581"/>
    <w:rPr>
      <w:rFonts w:ascii="Arial" w:hAnsi="Arial"/>
      <w:sz w:val="32"/>
      <w:szCs w:val="32"/>
    </w:rPr>
  </w:style>
  <w:style w:type="character" w:customStyle="1" w:styleId="Heading1Char">
    <w:name w:val="Heading 1 Char"/>
    <w:basedOn w:val="DefaultParagraphFont"/>
    <w:link w:val="Heading1"/>
    <w:uiPriority w:val="9"/>
    <w:rsid w:val="00B33581"/>
    <w:rPr>
      <w:rFonts w:ascii="Arial" w:eastAsia="Times New Roman" w:hAnsi="Arial" w:cs="Arial"/>
      <w:b/>
      <w:bCs/>
      <w:sz w:val="28"/>
      <w:szCs w:val="28"/>
      <w:shd w:val="clear" w:color="auto" w:fill="F7CAAC" w:themeFill="accent2" w:themeFillTint="66"/>
    </w:rPr>
  </w:style>
  <w:style w:type="character" w:customStyle="1" w:styleId="Heading2Char">
    <w:name w:val="Heading 2 Char"/>
    <w:basedOn w:val="DefaultParagraphFont"/>
    <w:link w:val="Heading2"/>
    <w:uiPriority w:val="9"/>
    <w:semiHidden/>
    <w:rsid w:val="00B33581"/>
    <w:rPr>
      <w:rFonts w:ascii="Arial" w:eastAsiaTheme="majorEastAsia" w:hAnsi="Arial" w:cs="Arial"/>
      <w:b/>
      <w:bCs/>
      <w:sz w:val="26"/>
      <w:szCs w:val="26"/>
    </w:rPr>
  </w:style>
  <w:style w:type="character" w:customStyle="1" w:styleId="Heading3Char">
    <w:name w:val="Heading 3 Char"/>
    <w:basedOn w:val="DefaultParagraphFont"/>
    <w:link w:val="Heading3"/>
    <w:uiPriority w:val="9"/>
    <w:semiHidden/>
    <w:rsid w:val="00B33581"/>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B3358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3358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3358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3358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3358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3358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3358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B33581"/>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B3358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B33581"/>
    <w:rPr>
      <w:rFonts w:ascii="Arial" w:eastAsiaTheme="majorEastAsia" w:hAnsi="Arial" w:cstheme="majorBidi"/>
      <w:i/>
      <w:iCs/>
      <w:spacing w:val="13"/>
      <w:sz w:val="24"/>
      <w:szCs w:val="24"/>
    </w:rPr>
  </w:style>
  <w:style w:type="character" w:styleId="Strong">
    <w:name w:val="Strong"/>
    <w:uiPriority w:val="22"/>
    <w:qFormat/>
    <w:rsid w:val="00B33581"/>
    <w:rPr>
      <w:rFonts w:ascii="Arial" w:hAnsi="Arial"/>
      <w:b/>
      <w:bCs/>
    </w:rPr>
  </w:style>
  <w:style w:type="character" w:styleId="Emphasis">
    <w:name w:val="Emphasis"/>
    <w:uiPriority w:val="20"/>
    <w:qFormat/>
    <w:rsid w:val="00B33581"/>
    <w:rPr>
      <w:rFonts w:ascii="Arial" w:hAnsi="Arial"/>
      <w:b/>
      <w:bCs/>
      <w:i/>
      <w:iCs/>
      <w:spacing w:val="10"/>
      <w:bdr w:val="none" w:sz="0" w:space="0" w:color="auto"/>
      <w:shd w:val="clear" w:color="auto" w:fill="auto"/>
    </w:rPr>
  </w:style>
  <w:style w:type="paragraph" w:styleId="NoSpacing">
    <w:name w:val="No Spacing"/>
    <w:basedOn w:val="Normal"/>
    <w:uiPriority w:val="1"/>
    <w:qFormat/>
    <w:rsid w:val="00B33581"/>
    <w:pPr>
      <w:spacing w:after="0" w:line="240" w:lineRule="auto"/>
    </w:pPr>
  </w:style>
  <w:style w:type="paragraph" w:styleId="Quote">
    <w:name w:val="Quote"/>
    <w:basedOn w:val="Normal"/>
    <w:next w:val="Normal"/>
    <w:link w:val="QuoteChar"/>
    <w:uiPriority w:val="29"/>
    <w:qFormat/>
    <w:rsid w:val="00B3358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B33581"/>
    <w:rPr>
      <w:i/>
      <w:iCs/>
    </w:rPr>
  </w:style>
  <w:style w:type="paragraph" w:styleId="IntenseQuote">
    <w:name w:val="Intense Quote"/>
    <w:basedOn w:val="Normal"/>
    <w:next w:val="Normal"/>
    <w:link w:val="IntenseQuoteChar"/>
    <w:uiPriority w:val="30"/>
    <w:qFormat/>
    <w:rsid w:val="00B3358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B33581"/>
    <w:rPr>
      <w:b/>
      <w:bCs/>
      <w:i/>
      <w:iCs/>
    </w:rPr>
  </w:style>
  <w:style w:type="character" w:styleId="SubtleEmphasis">
    <w:name w:val="Subtle Emphasis"/>
    <w:uiPriority w:val="19"/>
    <w:qFormat/>
    <w:rsid w:val="00B33581"/>
    <w:rPr>
      <w:rFonts w:ascii="Arial" w:hAnsi="Arial"/>
      <w:i/>
      <w:iCs/>
    </w:rPr>
  </w:style>
  <w:style w:type="character" w:styleId="IntenseEmphasis">
    <w:name w:val="Intense Emphasis"/>
    <w:uiPriority w:val="21"/>
    <w:qFormat/>
    <w:rsid w:val="00B33581"/>
    <w:rPr>
      <w:rFonts w:ascii="Arial" w:hAnsi="Arial"/>
      <w:b/>
      <w:bCs/>
    </w:rPr>
  </w:style>
  <w:style w:type="character" w:styleId="SubtleReference">
    <w:name w:val="Subtle Reference"/>
    <w:uiPriority w:val="31"/>
    <w:qFormat/>
    <w:rsid w:val="00B33581"/>
    <w:rPr>
      <w:rFonts w:ascii="Arial" w:hAnsi="Arial"/>
      <w:smallCaps/>
    </w:rPr>
  </w:style>
  <w:style w:type="character" w:styleId="IntenseReference">
    <w:name w:val="Intense Reference"/>
    <w:uiPriority w:val="32"/>
    <w:qFormat/>
    <w:rsid w:val="00B33581"/>
    <w:rPr>
      <w:rFonts w:ascii="Arial" w:hAnsi="Arial"/>
      <w:smallCaps/>
      <w:spacing w:val="5"/>
      <w:u w:val="single"/>
    </w:rPr>
  </w:style>
  <w:style w:type="character" w:styleId="BookTitle">
    <w:name w:val="Book Title"/>
    <w:uiPriority w:val="33"/>
    <w:qFormat/>
    <w:rsid w:val="00B33581"/>
    <w:rPr>
      <w:rFonts w:ascii="Arial" w:hAnsi="Arial"/>
      <w:i/>
      <w:iCs/>
      <w:smallCaps/>
      <w:spacing w:val="5"/>
    </w:rPr>
  </w:style>
  <w:style w:type="paragraph" w:styleId="TOCHeading">
    <w:name w:val="TOC Heading"/>
    <w:basedOn w:val="Heading1"/>
    <w:next w:val="Normal"/>
    <w:uiPriority w:val="39"/>
    <w:semiHidden/>
    <w:unhideWhenUsed/>
    <w:qFormat/>
    <w:rsid w:val="00B33581"/>
    <w:pPr>
      <w:outlineLvl w:val="9"/>
    </w:pPr>
    <w:rPr>
      <w:lang w:bidi="en-US"/>
    </w:rPr>
  </w:style>
  <w:style w:type="table" w:styleId="GridTable4-Accent1">
    <w:name w:val="Grid Table 4 Accent 1"/>
    <w:basedOn w:val="TableNormal"/>
    <w:uiPriority w:val="49"/>
    <w:rsid w:val="00B335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428567-D2F8-4FC0-8228-5482F95F504C}"/>
</file>

<file path=customXml/itemProps2.xml><?xml version="1.0" encoding="utf-8"?>
<ds:datastoreItem xmlns:ds="http://schemas.openxmlformats.org/officeDocument/2006/customXml" ds:itemID="{63F68111-73F2-4E42-BA24-62693C8286E9}">
  <ds:schemaRefs>
    <ds:schemaRef ds:uri="http://schemas.microsoft.com/sharepoint/v3/contenttype/forms"/>
  </ds:schemaRefs>
</ds:datastoreItem>
</file>

<file path=customXml/itemProps3.xml><?xml version="1.0" encoding="utf-8"?>
<ds:datastoreItem xmlns:ds="http://schemas.openxmlformats.org/officeDocument/2006/customXml" ds:itemID="{3CA4B0A3-3038-4739-A2F1-8F728FEEBB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1658</Words>
  <Characters>9453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Multi-Year Program Design and Performance</dc:title>
  <dc:subject/>
  <dc:creator>Ney, WaTanya</dc:creator>
  <cp:keywords/>
  <dc:description/>
  <cp:lastModifiedBy>Smith, Casey</cp:lastModifiedBy>
  <cp:revision>2</cp:revision>
  <dcterms:created xsi:type="dcterms:W3CDTF">2023-09-22T14:34:00Z</dcterms:created>
  <dcterms:modified xsi:type="dcterms:W3CDTF">2023-09-22T14:34:00Z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