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B7D" w:rsidRPr="00430B7D" w:rsidRDefault="00430B7D" w:rsidP="00430B7D">
      <w:pPr>
        <w:spacing w:after="0" w:line="240" w:lineRule="auto"/>
        <w:rPr>
          <w:rFonts w:eastAsia="Times New Roman" w:cstheme="minorHAnsi"/>
          <w:color w:val="030A13"/>
          <w:sz w:val="16"/>
          <w:szCs w:val="16"/>
        </w:rPr>
      </w:pPr>
      <w:bookmarkStart w:id="0" w:name="_GoBack"/>
      <w:bookmarkEnd w:id="0"/>
      <w:r w:rsidRPr="00430B7D">
        <w:rPr>
          <w:rFonts w:eastAsia="Times New Roman" w:cstheme="minorHAnsi"/>
          <w:color w:val="004285"/>
          <w:sz w:val="28"/>
          <w:szCs w:val="28"/>
        </w:rPr>
        <w:t>Key Policy Letters Signed by the Education Secretary or Deputy Secretary</w:t>
      </w:r>
      <w:r w:rsidRPr="00430B7D">
        <w:rPr>
          <w:rFonts w:eastAsia="Times New Roman" w:cstheme="minorHAnsi"/>
          <w:color w:val="030A13"/>
          <w:sz w:val="28"/>
          <w:szCs w:val="28"/>
        </w:rPr>
        <w:br/>
      </w:r>
    </w:p>
    <w:p w:rsidR="00430B7D" w:rsidRPr="00430B7D" w:rsidRDefault="00430B7D" w:rsidP="00430B7D">
      <w:pPr>
        <w:spacing w:after="150" w:line="240" w:lineRule="auto"/>
        <w:jc w:val="center"/>
        <w:rPr>
          <w:rFonts w:eastAsia="Times New Roman" w:cstheme="minorHAnsi"/>
          <w:color w:val="030A13"/>
        </w:rPr>
      </w:pPr>
      <w:r w:rsidRPr="00430B7D">
        <w:rPr>
          <w:rFonts w:eastAsia="Times New Roman" w:cstheme="minorHAnsi"/>
          <w:color w:val="030A13"/>
        </w:rPr>
        <w:t>October 7, 2015</w:t>
      </w:r>
    </w:p>
    <w:p w:rsidR="00430B7D" w:rsidRPr="00430B7D" w:rsidRDefault="00430B7D" w:rsidP="00430B7D">
      <w:pPr>
        <w:spacing w:after="150" w:line="240" w:lineRule="auto"/>
        <w:rPr>
          <w:rFonts w:eastAsia="Times New Roman" w:cstheme="minorHAnsi"/>
          <w:color w:val="030A13"/>
        </w:rPr>
      </w:pPr>
      <w:r w:rsidRPr="00430B7D">
        <w:rPr>
          <w:rFonts w:eastAsia="Times New Roman" w:cstheme="minorHAnsi"/>
          <w:color w:val="030A13"/>
        </w:rPr>
        <w:t>Dear Colleague:</w:t>
      </w:r>
    </w:p>
    <w:p w:rsidR="00430B7D" w:rsidRPr="00430B7D" w:rsidRDefault="00430B7D" w:rsidP="00430B7D">
      <w:pPr>
        <w:spacing w:after="150" w:line="240" w:lineRule="auto"/>
        <w:rPr>
          <w:rFonts w:eastAsia="Times New Roman" w:cstheme="minorHAnsi"/>
          <w:color w:val="030A13"/>
        </w:rPr>
      </w:pPr>
      <w:bookmarkStart w:id="1" w:name="return-1"/>
      <w:bookmarkEnd w:id="1"/>
      <w:r w:rsidRPr="00430B7D">
        <w:rPr>
          <w:rFonts w:eastAsia="Times New Roman" w:cstheme="minorHAnsi"/>
          <w:color w:val="030A13"/>
        </w:rPr>
        <w:t>A growing and compelling body of research demonstrates that chronic absence from school</w:t>
      </w:r>
      <w:r>
        <w:rPr>
          <w:rFonts w:eastAsia="Times New Roman" w:cstheme="minorHAnsi"/>
          <w:color w:val="030A13"/>
        </w:rPr>
        <w:t xml:space="preserve"> </w:t>
      </w:r>
      <w:r w:rsidRPr="00430B7D">
        <w:rPr>
          <w:rFonts w:eastAsia="Times New Roman" w:cstheme="minorHAnsi"/>
          <w:color w:val="030A13"/>
        </w:rPr>
        <w:t>—</w:t>
      </w:r>
      <w:r>
        <w:rPr>
          <w:rFonts w:eastAsia="Times New Roman" w:cstheme="minorHAnsi"/>
          <w:color w:val="030A13"/>
        </w:rPr>
        <w:t xml:space="preserve"> </w:t>
      </w:r>
      <w:r w:rsidRPr="00430B7D">
        <w:rPr>
          <w:rFonts w:eastAsia="Times New Roman" w:cstheme="minorHAnsi"/>
          <w:color w:val="030A13"/>
        </w:rPr>
        <w:t>typically defined as missing at least 10 percent of school days in a year for any reason, excused or unexcused</w:t>
      </w:r>
      <w:r w:rsidRPr="00430B7D">
        <w:rPr>
          <w:rFonts w:eastAsia="Times New Roman" w:cstheme="minorHAnsi"/>
          <w:b/>
          <w:bCs/>
          <w:color w:val="030A13"/>
          <w:vertAlign w:val="superscript"/>
        </w:rPr>
        <w:t xml:space="preserve">[ </w:t>
      </w:r>
      <w:hyperlink r:id="rId5" w:anchor="footnote-1" w:history="1">
        <w:r w:rsidRPr="00430B7D">
          <w:rPr>
            <w:rFonts w:eastAsia="Times New Roman" w:cstheme="minorHAnsi"/>
            <w:b/>
            <w:bCs/>
            <w:color w:val="115CA7"/>
            <w:vertAlign w:val="superscript"/>
          </w:rPr>
          <w:t> 1 </w:t>
        </w:r>
      </w:hyperlink>
      <w:r w:rsidRPr="00430B7D">
        <w:rPr>
          <w:rFonts w:eastAsia="Times New Roman" w:cstheme="minorHAnsi"/>
          <w:b/>
          <w:bCs/>
          <w:color w:val="030A13"/>
          <w:vertAlign w:val="superscript"/>
        </w:rPr>
        <w:t xml:space="preserve"> ]</w:t>
      </w:r>
      <w:r>
        <w:rPr>
          <w:rFonts w:eastAsia="Times New Roman" w:cstheme="minorHAnsi"/>
          <w:b/>
          <w:bCs/>
          <w:color w:val="030A13"/>
          <w:vertAlign w:val="superscript"/>
        </w:rPr>
        <w:t xml:space="preserve"> </w:t>
      </w:r>
      <w:r w:rsidRPr="00430B7D">
        <w:rPr>
          <w:rFonts w:eastAsia="Times New Roman" w:cstheme="minorHAnsi"/>
          <w:color w:val="030A13"/>
        </w:rPr>
        <w:t>—</w:t>
      </w:r>
      <w:bookmarkStart w:id="2" w:name="return-2"/>
      <w:bookmarkEnd w:id="2"/>
      <w:r>
        <w:rPr>
          <w:rFonts w:eastAsia="Times New Roman" w:cstheme="minorHAnsi"/>
          <w:color w:val="030A13"/>
        </w:rPr>
        <w:t xml:space="preserve"> </w:t>
      </w:r>
      <w:r w:rsidRPr="00430B7D">
        <w:rPr>
          <w:rFonts w:eastAsia="Times New Roman" w:cstheme="minorHAnsi"/>
          <w:color w:val="030A13"/>
        </w:rPr>
        <w:t>is a primary cause of low academic achievement and a powerful predictor of which students will eventually drop out of school.</w:t>
      </w:r>
      <w:r w:rsidRPr="00430B7D">
        <w:rPr>
          <w:rFonts w:eastAsia="Times New Roman" w:cstheme="minorHAnsi"/>
          <w:b/>
          <w:bCs/>
          <w:color w:val="030A13"/>
          <w:vertAlign w:val="superscript"/>
        </w:rPr>
        <w:t xml:space="preserve">[ </w:t>
      </w:r>
      <w:hyperlink r:id="rId6" w:anchor="footnote-2" w:history="1">
        <w:r w:rsidRPr="00430B7D">
          <w:rPr>
            <w:rFonts w:eastAsia="Times New Roman" w:cstheme="minorHAnsi"/>
            <w:b/>
            <w:bCs/>
            <w:color w:val="115CA7"/>
            <w:vertAlign w:val="superscript"/>
          </w:rPr>
          <w:t> 2 </w:t>
        </w:r>
      </w:hyperlink>
      <w:r w:rsidRPr="00430B7D">
        <w:rPr>
          <w:rFonts w:eastAsia="Times New Roman" w:cstheme="minorHAnsi"/>
          <w:b/>
          <w:bCs/>
          <w:color w:val="030A13"/>
          <w:vertAlign w:val="superscript"/>
        </w:rPr>
        <w:t xml:space="preserve"> ]</w:t>
      </w:r>
      <w:bookmarkStart w:id="3" w:name="return-3"/>
      <w:bookmarkEnd w:id="3"/>
      <w:r w:rsidRPr="00430B7D">
        <w:rPr>
          <w:rFonts w:eastAsia="Times New Roman" w:cstheme="minorHAnsi"/>
          <w:color w:val="030A13"/>
        </w:rPr>
        <w:t xml:space="preserve"> </w:t>
      </w:r>
      <w:r>
        <w:rPr>
          <w:rFonts w:eastAsia="Times New Roman" w:cstheme="minorHAnsi"/>
          <w:color w:val="030A13"/>
        </w:rPr>
        <w:t xml:space="preserve"> </w:t>
      </w:r>
      <w:r w:rsidRPr="00430B7D">
        <w:rPr>
          <w:rFonts w:eastAsia="Times New Roman" w:cstheme="minorHAnsi"/>
          <w:color w:val="030A13"/>
        </w:rPr>
        <w:t>With an estimated five to seven and a half million students chronically absent each year,</w:t>
      </w:r>
      <w:r w:rsidRPr="00430B7D">
        <w:rPr>
          <w:rFonts w:eastAsia="Times New Roman" w:cstheme="minorHAnsi"/>
          <w:b/>
          <w:bCs/>
          <w:color w:val="030A13"/>
          <w:vertAlign w:val="superscript"/>
        </w:rPr>
        <w:t xml:space="preserve">[ </w:t>
      </w:r>
      <w:hyperlink r:id="rId7" w:anchor="footnote-3" w:history="1">
        <w:r w:rsidRPr="00430B7D">
          <w:rPr>
            <w:rFonts w:eastAsia="Times New Roman" w:cstheme="minorHAnsi"/>
            <w:b/>
            <w:bCs/>
            <w:color w:val="115CA7"/>
            <w:vertAlign w:val="superscript"/>
          </w:rPr>
          <w:t> 3 </w:t>
        </w:r>
      </w:hyperlink>
      <w:r w:rsidRPr="00430B7D">
        <w:rPr>
          <w:rFonts w:eastAsia="Times New Roman" w:cstheme="minorHAnsi"/>
          <w:b/>
          <w:bCs/>
          <w:color w:val="030A13"/>
          <w:vertAlign w:val="superscript"/>
        </w:rPr>
        <w:t xml:space="preserve"> ]</w:t>
      </w:r>
      <w:r w:rsidRPr="00430B7D">
        <w:rPr>
          <w:rFonts w:eastAsia="Times New Roman" w:cstheme="minorHAnsi"/>
          <w:color w:val="030A13"/>
        </w:rPr>
        <w:t xml:space="preserve"> chronic absenteeism is a national problem that seriously undermines our collective efforts to improve education and life outcomes among our youth.</w:t>
      </w:r>
    </w:p>
    <w:p w:rsidR="00430B7D" w:rsidRPr="00430B7D" w:rsidRDefault="00430B7D" w:rsidP="00430B7D">
      <w:pPr>
        <w:spacing w:after="150" w:line="240" w:lineRule="auto"/>
        <w:rPr>
          <w:rFonts w:eastAsia="Times New Roman" w:cstheme="minorHAnsi"/>
          <w:color w:val="030A13"/>
        </w:rPr>
      </w:pPr>
      <w:r w:rsidRPr="00430B7D">
        <w:rPr>
          <w:rFonts w:eastAsia="Times New Roman" w:cstheme="minorHAnsi"/>
          <w:color w:val="030A13"/>
        </w:rPr>
        <w:t>Today, we, the leaders of the U.S. Departments of Education (ED), Health and Human Services (HHS), Housing and Urban Development (HUD), and Justice (DOJ), announce our long-term commitment to building capacity across the Federal government to support States and local communities in the work of addressing and eliminating chronic absenteeism. We also call upon States and local education, health, housing, and justice agencies and organizations, in partnership with community stakeholders, to join forces and commit to creating or enhancing coordinated, cross-sector systems for identifying and supporting students who are, or are at risk of becoming, chronically absent, with the goal of reducing chronic absenteeism by at least 10 percent each year, beginning in the 2015-16 school year.</w:t>
      </w:r>
    </w:p>
    <w:p w:rsidR="00430B7D" w:rsidRPr="00430B7D" w:rsidRDefault="00430B7D" w:rsidP="00430B7D">
      <w:pPr>
        <w:spacing w:after="150" w:line="240" w:lineRule="auto"/>
        <w:rPr>
          <w:rFonts w:eastAsia="Times New Roman" w:cstheme="minorHAnsi"/>
          <w:color w:val="030A13"/>
        </w:rPr>
      </w:pPr>
      <w:r w:rsidRPr="00430B7D">
        <w:rPr>
          <w:rFonts w:eastAsia="Times New Roman" w:cstheme="minorHAnsi"/>
          <w:color w:val="030A13"/>
        </w:rPr>
        <w:t>In order to support communities in addressing and eliminating barriers to students’ daily attendance at, and meaningful engagement with, school</w:t>
      </w:r>
      <w:r>
        <w:rPr>
          <w:rFonts w:eastAsia="Times New Roman" w:cstheme="minorHAnsi"/>
          <w:color w:val="030A13"/>
        </w:rPr>
        <w:t xml:space="preserve"> </w:t>
      </w:r>
      <w:r w:rsidRPr="00430B7D">
        <w:rPr>
          <w:rFonts w:eastAsia="Times New Roman" w:cstheme="minorHAnsi"/>
          <w:color w:val="030A13"/>
        </w:rPr>
        <w:t>—</w:t>
      </w:r>
      <w:r>
        <w:rPr>
          <w:rFonts w:eastAsia="Times New Roman" w:cstheme="minorHAnsi"/>
          <w:color w:val="030A13"/>
        </w:rPr>
        <w:t xml:space="preserve"> </w:t>
      </w:r>
      <w:r w:rsidRPr="00430B7D">
        <w:rPr>
          <w:rFonts w:eastAsia="Times New Roman" w:cstheme="minorHAnsi"/>
          <w:color w:val="030A13"/>
        </w:rPr>
        <w:t>particularly for students who are low-income, of color, homeless, highly mobile, juvenile justice-involved, and/or who are students with disabilities</w:t>
      </w:r>
      <w:r>
        <w:rPr>
          <w:rFonts w:eastAsia="Times New Roman" w:cstheme="minorHAnsi"/>
          <w:color w:val="030A13"/>
        </w:rPr>
        <w:t xml:space="preserve"> </w:t>
      </w:r>
      <w:r w:rsidRPr="00430B7D">
        <w:rPr>
          <w:rFonts w:eastAsia="Times New Roman" w:cstheme="minorHAnsi"/>
          <w:color w:val="030A13"/>
        </w:rPr>
        <w:t>—</w:t>
      </w:r>
      <w:r>
        <w:rPr>
          <w:rFonts w:eastAsia="Times New Roman" w:cstheme="minorHAnsi"/>
          <w:color w:val="030A13"/>
        </w:rPr>
        <w:t xml:space="preserve"> </w:t>
      </w:r>
      <w:r w:rsidRPr="00430B7D">
        <w:rPr>
          <w:rFonts w:eastAsia="Times New Roman" w:cstheme="minorHAnsi"/>
          <w:color w:val="030A13"/>
        </w:rPr>
        <w:t>we are pleased to announce the release of the</w:t>
      </w:r>
      <w:r w:rsidRPr="00430B7D">
        <w:rPr>
          <w:rFonts w:eastAsia="Times New Roman" w:cstheme="minorHAnsi"/>
          <w:i/>
          <w:iCs/>
          <w:color w:val="030A13"/>
        </w:rPr>
        <w:t xml:space="preserve"> Community Toolkit to Address and Eliminate Chronic Absenteeism</w:t>
      </w:r>
      <w:r w:rsidRPr="00430B7D">
        <w:rPr>
          <w:rFonts w:eastAsia="Times New Roman" w:cstheme="minorHAnsi"/>
          <w:color w:val="030A13"/>
        </w:rPr>
        <w:t xml:space="preserve">, which is available at </w:t>
      </w:r>
      <w:hyperlink r:id="rId8" w:history="1">
        <w:r w:rsidRPr="00430B7D">
          <w:rPr>
            <w:rFonts w:eastAsia="Times New Roman" w:cstheme="minorHAnsi"/>
            <w:color w:val="115CA7"/>
          </w:rPr>
          <w:t>http://www2.ed.gov/about/inits/ed/chronicabsenteeism/index.html</w:t>
        </w:r>
      </w:hyperlink>
      <w:r w:rsidRPr="00430B7D">
        <w:rPr>
          <w:rFonts w:eastAsia="Times New Roman" w:cstheme="minorHAnsi"/>
          <w:color w:val="030A13"/>
        </w:rPr>
        <w:t>. </w:t>
      </w:r>
      <w:r>
        <w:rPr>
          <w:rFonts w:eastAsia="Times New Roman" w:cstheme="minorHAnsi"/>
          <w:color w:val="030A13"/>
        </w:rPr>
        <w:t xml:space="preserve">  </w:t>
      </w:r>
      <w:r w:rsidRPr="00430B7D">
        <w:rPr>
          <w:rFonts w:eastAsia="Times New Roman" w:cstheme="minorHAnsi"/>
          <w:color w:val="030A13"/>
        </w:rPr>
        <w:t xml:space="preserve">This Toolkit will provide community stakeholders with information and resources to help ensure that all young people are in school every day and benefitting from coordinated systems of support. </w:t>
      </w:r>
      <w:r>
        <w:rPr>
          <w:rFonts w:eastAsia="Times New Roman" w:cstheme="minorHAnsi"/>
          <w:color w:val="030A13"/>
        </w:rPr>
        <w:t xml:space="preserve"> </w:t>
      </w:r>
      <w:r w:rsidRPr="00430B7D">
        <w:rPr>
          <w:rFonts w:eastAsia="Times New Roman" w:cstheme="minorHAnsi"/>
          <w:color w:val="030A13"/>
        </w:rPr>
        <w:t>Further, to achieve our ambitious but attainable goal of reducing chronic absenteeism by at least 10 percent per year, we ask that leaders of State and local education, health, housing, and justice systems work immediately and collaboratively to take the following action steps:</w:t>
      </w:r>
    </w:p>
    <w:p w:rsidR="00430B7D" w:rsidRPr="00430B7D" w:rsidRDefault="00430B7D" w:rsidP="00430B7D">
      <w:pPr>
        <w:spacing w:after="150" w:line="240" w:lineRule="auto"/>
        <w:rPr>
          <w:rFonts w:eastAsia="Times New Roman" w:cstheme="minorHAnsi"/>
          <w:color w:val="030A13"/>
        </w:rPr>
      </w:pPr>
      <w:r w:rsidRPr="00430B7D">
        <w:rPr>
          <w:rFonts w:eastAsia="Times New Roman" w:cstheme="minorHAnsi"/>
          <w:b/>
          <w:bCs/>
          <w:color w:val="030A13"/>
        </w:rPr>
        <w:t>Action Step 1:  Generate and act on absenteeism data.</w:t>
      </w:r>
      <w:r>
        <w:rPr>
          <w:rFonts w:eastAsia="Times New Roman" w:cstheme="minorHAnsi"/>
          <w:b/>
          <w:bCs/>
          <w:color w:val="030A13"/>
        </w:rPr>
        <w:t xml:space="preserve">  </w:t>
      </w:r>
      <w:r w:rsidRPr="00430B7D">
        <w:rPr>
          <w:rFonts w:eastAsia="Times New Roman" w:cstheme="minorHAnsi"/>
          <w:color w:val="030A13"/>
        </w:rPr>
        <w:t>Prioritize the development of early warning prevention and intervention systems that identify students who are, or are at risk of becoming, chronically absent before they miss enough school that it is nearly impossible for them to catch up. </w:t>
      </w:r>
      <w:r>
        <w:rPr>
          <w:rFonts w:eastAsia="Times New Roman" w:cstheme="minorHAnsi"/>
          <w:color w:val="030A13"/>
        </w:rPr>
        <w:t xml:space="preserve"> </w:t>
      </w:r>
      <w:r w:rsidRPr="00430B7D">
        <w:rPr>
          <w:rFonts w:eastAsia="Times New Roman" w:cstheme="minorHAnsi"/>
          <w:color w:val="030A13"/>
        </w:rPr>
        <w:t>Data from such systems should be shared</w:t>
      </w:r>
      <w:r>
        <w:rPr>
          <w:rFonts w:eastAsia="Times New Roman" w:cstheme="minorHAnsi"/>
          <w:color w:val="030A13"/>
        </w:rPr>
        <w:t xml:space="preserve"> </w:t>
      </w:r>
      <w:r w:rsidRPr="00430B7D">
        <w:rPr>
          <w:rFonts w:eastAsia="Times New Roman" w:cstheme="minorHAnsi"/>
          <w:color w:val="030A13"/>
        </w:rPr>
        <w:t>—</w:t>
      </w:r>
      <w:r>
        <w:rPr>
          <w:rFonts w:eastAsia="Times New Roman" w:cstheme="minorHAnsi"/>
          <w:color w:val="030A13"/>
        </w:rPr>
        <w:t xml:space="preserve"> </w:t>
      </w:r>
      <w:r w:rsidRPr="00430B7D">
        <w:rPr>
          <w:rFonts w:eastAsia="Times New Roman" w:cstheme="minorHAnsi"/>
          <w:color w:val="030A13"/>
        </w:rPr>
        <w:t>in a manner consistent with applicable State law and the Family Educational Rights and Privacy Act (FERPA)</w:t>
      </w:r>
      <w:r>
        <w:rPr>
          <w:rFonts w:eastAsia="Times New Roman" w:cstheme="minorHAnsi"/>
          <w:color w:val="030A13"/>
        </w:rPr>
        <w:t xml:space="preserve"> </w:t>
      </w:r>
      <w:r w:rsidRPr="00430B7D">
        <w:rPr>
          <w:rFonts w:eastAsia="Times New Roman" w:cstheme="minorHAnsi"/>
          <w:color w:val="030A13"/>
        </w:rPr>
        <w:t>—</w:t>
      </w:r>
      <w:bookmarkStart w:id="4" w:name="return-4"/>
      <w:bookmarkEnd w:id="4"/>
      <w:r>
        <w:rPr>
          <w:rFonts w:eastAsia="Times New Roman" w:cstheme="minorHAnsi"/>
          <w:color w:val="030A13"/>
        </w:rPr>
        <w:t xml:space="preserve"> </w:t>
      </w:r>
      <w:r w:rsidRPr="00430B7D">
        <w:rPr>
          <w:rFonts w:eastAsia="Times New Roman" w:cstheme="minorHAnsi"/>
          <w:color w:val="030A13"/>
        </w:rPr>
        <w:t>between school districts and other key public and private organizations to ensure coordinated systems of support for students who are chronically absent</w:t>
      </w:r>
      <w:proofErr w:type="gramStart"/>
      <w:r w:rsidRPr="00430B7D">
        <w:rPr>
          <w:rFonts w:eastAsia="Times New Roman" w:cstheme="minorHAnsi"/>
          <w:color w:val="030A13"/>
        </w:rPr>
        <w:t>.</w:t>
      </w:r>
      <w:r w:rsidRPr="00430B7D">
        <w:rPr>
          <w:rFonts w:eastAsia="Times New Roman" w:cstheme="minorHAnsi"/>
          <w:b/>
          <w:bCs/>
          <w:color w:val="030A13"/>
          <w:vertAlign w:val="superscript"/>
        </w:rPr>
        <w:t>[</w:t>
      </w:r>
      <w:proofErr w:type="gramEnd"/>
      <w:r w:rsidRPr="00430B7D">
        <w:rPr>
          <w:rFonts w:eastAsia="Times New Roman" w:cstheme="minorHAnsi"/>
          <w:b/>
          <w:bCs/>
          <w:color w:val="030A13"/>
          <w:vertAlign w:val="superscript"/>
        </w:rPr>
        <w:t xml:space="preserve"> </w:t>
      </w:r>
      <w:hyperlink r:id="rId9" w:anchor="footnote-4" w:history="1">
        <w:r w:rsidRPr="00430B7D">
          <w:rPr>
            <w:rFonts w:eastAsia="Times New Roman" w:cstheme="minorHAnsi"/>
            <w:b/>
            <w:bCs/>
            <w:color w:val="115CA7"/>
            <w:vertAlign w:val="superscript"/>
          </w:rPr>
          <w:t> 4 </w:t>
        </w:r>
      </w:hyperlink>
      <w:r w:rsidRPr="00430B7D">
        <w:rPr>
          <w:rFonts w:eastAsia="Times New Roman" w:cstheme="minorHAnsi"/>
          <w:b/>
          <w:bCs/>
          <w:color w:val="030A13"/>
          <w:vertAlign w:val="superscript"/>
        </w:rPr>
        <w:t xml:space="preserve"> ]</w:t>
      </w:r>
    </w:p>
    <w:p w:rsidR="00430B7D" w:rsidRPr="00430B7D" w:rsidRDefault="00430B7D" w:rsidP="00430B7D">
      <w:pPr>
        <w:spacing w:after="150" w:line="240" w:lineRule="auto"/>
        <w:rPr>
          <w:rFonts w:eastAsia="Times New Roman" w:cstheme="minorHAnsi"/>
          <w:color w:val="030A13"/>
        </w:rPr>
      </w:pPr>
      <w:r w:rsidRPr="00430B7D">
        <w:rPr>
          <w:rFonts w:eastAsia="Times New Roman" w:cstheme="minorHAnsi"/>
          <w:b/>
          <w:bCs/>
          <w:color w:val="030A13"/>
        </w:rPr>
        <w:t xml:space="preserve">Action Step 2:  Create and deploy positive messages and measures.  </w:t>
      </w:r>
      <w:r w:rsidRPr="00430B7D">
        <w:rPr>
          <w:rFonts w:eastAsia="Times New Roman" w:cstheme="minorHAnsi"/>
          <w:color w:val="030A13"/>
        </w:rPr>
        <w:t xml:space="preserve">Focus on developing positive messages for youth and families as well as implementing supportive engagement strategies. </w:t>
      </w:r>
      <w:bookmarkStart w:id="5" w:name="return-5"/>
      <w:bookmarkEnd w:id="5"/>
      <w:r w:rsidR="00942FB3">
        <w:rPr>
          <w:rFonts w:eastAsia="Times New Roman" w:cstheme="minorHAnsi"/>
          <w:color w:val="030A13"/>
        </w:rPr>
        <w:t xml:space="preserve"> </w:t>
      </w:r>
      <w:r w:rsidRPr="00430B7D">
        <w:rPr>
          <w:rFonts w:eastAsia="Times New Roman" w:cstheme="minorHAnsi"/>
          <w:color w:val="030A13"/>
        </w:rPr>
        <w:t xml:space="preserve">For instance, these strategies may include mentoring, counseling, and creating safe and supportive school climates through approaches such as Positive Behavior Interventions and </w:t>
      </w:r>
      <w:proofErr w:type="gramStart"/>
      <w:r w:rsidRPr="00430B7D">
        <w:rPr>
          <w:rFonts w:eastAsia="Times New Roman" w:cstheme="minorHAnsi"/>
          <w:color w:val="030A13"/>
        </w:rPr>
        <w:t>Supports</w:t>
      </w:r>
      <w:r w:rsidRPr="00430B7D">
        <w:rPr>
          <w:rFonts w:eastAsia="Times New Roman" w:cstheme="minorHAnsi"/>
          <w:b/>
          <w:bCs/>
          <w:color w:val="030A13"/>
          <w:vertAlign w:val="superscript"/>
        </w:rPr>
        <w:t>[</w:t>
      </w:r>
      <w:proofErr w:type="gramEnd"/>
      <w:r w:rsidRPr="00430B7D">
        <w:rPr>
          <w:rFonts w:eastAsia="Times New Roman" w:cstheme="minorHAnsi"/>
          <w:b/>
          <w:bCs/>
          <w:color w:val="030A13"/>
          <w:vertAlign w:val="superscript"/>
        </w:rPr>
        <w:t xml:space="preserve"> </w:t>
      </w:r>
      <w:hyperlink r:id="rId10" w:anchor="footnote-5" w:history="1">
        <w:r w:rsidRPr="00430B7D">
          <w:rPr>
            <w:rFonts w:eastAsia="Times New Roman" w:cstheme="minorHAnsi"/>
            <w:b/>
            <w:bCs/>
            <w:color w:val="115CA7"/>
            <w:vertAlign w:val="superscript"/>
          </w:rPr>
          <w:t> 5 </w:t>
        </w:r>
      </w:hyperlink>
      <w:r w:rsidRPr="00430B7D">
        <w:rPr>
          <w:rFonts w:eastAsia="Times New Roman" w:cstheme="minorHAnsi"/>
          <w:b/>
          <w:bCs/>
          <w:color w:val="030A13"/>
          <w:vertAlign w:val="superscript"/>
        </w:rPr>
        <w:t xml:space="preserve"> ]</w:t>
      </w:r>
      <w:r w:rsidRPr="00430B7D">
        <w:rPr>
          <w:rFonts w:eastAsia="Times New Roman" w:cstheme="minorHAnsi"/>
          <w:color w:val="030A13"/>
        </w:rPr>
        <w:t xml:space="preserve"> to improve students' attendance at, connection to, and success in school.</w:t>
      </w:r>
      <w:bookmarkStart w:id="6" w:name="return-6"/>
      <w:bookmarkEnd w:id="6"/>
      <w:r w:rsidRPr="00430B7D">
        <w:rPr>
          <w:rFonts w:eastAsia="Times New Roman" w:cstheme="minorHAnsi"/>
          <w:color w:val="030A13"/>
        </w:rPr>
        <w:t xml:space="preserve"> </w:t>
      </w:r>
      <w:r w:rsidR="00942FB3">
        <w:rPr>
          <w:rFonts w:eastAsia="Times New Roman" w:cstheme="minorHAnsi"/>
          <w:color w:val="030A13"/>
        </w:rPr>
        <w:t xml:space="preserve"> </w:t>
      </w:r>
      <w:r w:rsidRPr="00430B7D">
        <w:rPr>
          <w:rFonts w:eastAsia="Times New Roman" w:cstheme="minorHAnsi"/>
          <w:color w:val="030A13"/>
        </w:rPr>
        <w:t>Punitive messages and measures are often ineffective and can lead to disproportionate suspensions and expulsions from school and inappropriate referrals of students and families to law enforcement</w:t>
      </w:r>
      <w:proofErr w:type="gramStart"/>
      <w:r w:rsidRPr="00430B7D">
        <w:rPr>
          <w:rFonts w:eastAsia="Times New Roman" w:cstheme="minorHAnsi"/>
          <w:color w:val="030A13"/>
        </w:rPr>
        <w:t>.</w:t>
      </w:r>
      <w:r w:rsidRPr="00430B7D">
        <w:rPr>
          <w:rFonts w:eastAsia="Times New Roman" w:cstheme="minorHAnsi"/>
          <w:b/>
          <w:bCs/>
          <w:color w:val="030A13"/>
          <w:vertAlign w:val="superscript"/>
        </w:rPr>
        <w:t>[</w:t>
      </w:r>
      <w:proofErr w:type="gramEnd"/>
      <w:r w:rsidRPr="00430B7D">
        <w:rPr>
          <w:rFonts w:eastAsia="Times New Roman" w:cstheme="minorHAnsi"/>
          <w:b/>
          <w:bCs/>
          <w:color w:val="030A13"/>
          <w:vertAlign w:val="superscript"/>
        </w:rPr>
        <w:t xml:space="preserve"> </w:t>
      </w:r>
      <w:hyperlink r:id="rId11" w:anchor="footnote-6" w:history="1">
        <w:r w:rsidRPr="00430B7D">
          <w:rPr>
            <w:rFonts w:eastAsia="Times New Roman" w:cstheme="minorHAnsi"/>
            <w:b/>
            <w:bCs/>
            <w:color w:val="115CA7"/>
            <w:vertAlign w:val="superscript"/>
          </w:rPr>
          <w:t> 6 </w:t>
        </w:r>
      </w:hyperlink>
      <w:r w:rsidRPr="00430B7D">
        <w:rPr>
          <w:rFonts w:eastAsia="Times New Roman" w:cstheme="minorHAnsi"/>
          <w:b/>
          <w:bCs/>
          <w:color w:val="030A13"/>
          <w:vertAlign w:val="superscript"/>
        </w:rPr>
        <w:t xml:space="preserve"> ]</w:t>
      </w:r>
    </w:p>
    <w:p w:rsidR="00430B7D" w:rsidRPr="00430B7D" w:rsidRDefault="00430B7D" w:rsidP="00430B7D">
      <w:pPr>
        <w:spacing w:after="150" w:line="240" w:lineRule="auto"/>
        <w:rPr>
          <w:rFonts w:eastAsia="Times New Roman" w:cstheme="minorHAnsi"/>
          <w:color w:val="030A13"/>
        </w:rPr>
      </w:pPr>
      <w:r w:rsidRPr="00430B7D">
        <w:rPr>
          <w:rFonts w:eastAsia="Times New Roman" w:cstheme="minorHAnsi"/>
          <w:b/>
          <w:bCs/>
          <w:color w:val="030A13"/>
        </w:rPr>
        <w:t>Action Step 3:  Focus communities on addressing chronic absenteeism.</w:t>
      </w:r>
      <w:r w:rsidRPr="00430B7D">
        <w:rPr>
          <w:rFonts w:eastAsia="Times New Roman" w:cstheme="minorHAnsi"/>
          <w:color w:val="030A13"/>
        </w:rPr>
        <w:t>  Launch local initiatives to raise public awareness about the causes and effects of chronic absenteeism, including awareness among families and youth.</w:t>
      </w:r>
      <w:r w:rsidR="00942FB3">
        <w:rPr>
          <w:rFonts w:eastAsia="Times New Roman" w:cstheme="minorHAnsi"/>
          <w:color w:val="030A13"/>
        </w:rPr>
        <w:t xml:space="preserve"> </w:t>
      </w:r>
      <w:r w:rsidRPr="00430B7D">
        <w:rPr>
          <w:rFonts w:eastAsia="Times New Roman" w:cstheme="minorHAnsi"/>
          <w:color w:val="030A13"/>
        </w:rPr>
        <w:t xml:space="preserve"> Prioritize training within communities and across sectors to conduct root-cause </w:t>
      </w:r>
      <w:r w:rsidRPr="00430B7D">
        <w:rPr>
          <w:rFonts w:eastAsia="Times New Roman" w:cstheme="minorHAnsi"/>
          <w:color w:val="030A13"/>
        </w:rPr>
        <w:lastRenderedPageBreak/>
        <w:t>analyses of local absenteeism trends.</w:t>
      </w:r>
      <w:bookmarkStart w:id="7" w:name="return-7"/>
      <w:bookmarkEnd w:id="7"/>
      <w:r>
        <w:rPr>
          <w:rFonts w:eastAsia="Times New Roman" w:cstheme="minorHAnsi"/>
          <w:color w:val="030A13"/>
        </w:rPr>
        <w:t xml:space="preserve"> </w:t>
      </w:r>
      <w:r w:rsidRPr="00430B7D">
        <w:rPr>
          <w:rFonts w:eastAsia="Times New Roman" w:cstheme="minorHAnsi"/>
          <w:color w:val="030A13"/>
        </w:rPr>
        <w:t>Implement research and evidence-based strategies and programs</w:t>
      </w:r>
      <w:r>
        <w:rPr>
          <w:rFonts w:eastAsia="Times New Roman" w:cstheme="minorHAnsi"/>
          <w:color w:val="030A13"/>
        </w:rPr>
        <w:t xml:space="preserve"> </w:t>
      </w:r>
      <w:r w:rsidRPr="00430B7D">
        <w:rPr>
          <w:rFonts w:eastAsia="Times New Roman" w:cstheme="minorHAnsi"/>
          <w:color w:val="030A13"/>
        </w:rPr>
        <w:t>—</w:t>
      </w:r>
      <w:r>
        <w:rPr>
          <w:rFonts w:eastAsia="Times New Roman" w:cstheme="minorHAnsi"/>
          <w:color w:val="030A13"/>
        </w:rPr>
        <w:t xml:space="preserve"> </w:t>
      </w:r>
      <w:r w:rsidRPr="00430B7D">
        <w:rPr>
          <w:rFonts w:eastAsia="Times New Roman" w:cstheme="minorHAnsi"/>
          <w:color w:val="030A13"/>
        </w:rPr>
        <w:t xml:space="preserve">such as </w:t>
      </w:r>
      <w:r w:rsidRPr="00430B7D">
        <w:rPr>
          <w:rFonts w:eastAsia="Times New Roman" w:cstheme="minorHAnsi"/>
          <w:i/>
          <w:iCs/>
          <w:color w:val="030A13"/>
        </w:rPr>
        <w:t xml:space="preserve">Check &amp; </w:t>
      </w:r>
      <w:proofErr w:type="gramStart"/>
      <w:r w:rsidRPr="00430B7D">
        <w:rPr>
          <w:rFonts w:eastAsia="Times New Roman" w:cstheme="minorHAnsi"/>
          <w:i/>
          <w:iCs/>
          <w:color w:val="030A13"/>
        </w:rPr>
        <w:t>Connect</w:t>
      </w:r>
      <w:r w:rsidRPr="00430B7D">
        <w:rPr>
          <w:rFonts w:eastAsia="Times New Roman" w:cstheme="minorHAnsi"/>
          <w:b/>
          <w:bCs/>
          <w:color w:val="030A13"/>
          <w:vertAlign w:val="superscript"/>
        </w:rPr>
        <w:t>[</w:t>
      </w:r>
      <w:proofErr w:type="gramEnd"/>
      <w:r w:rsidRPr="00430B7D">
        <w:rPr>
          <w:rFonts w:eastAsia="Times New Roman" w:cstheme="minorHAnsi"/>
          <w:b/>
          <w:bCs/>
          <w:color w:val="030A13"/>
          <w:vertAlign w:val="superscript"/>
        </w:rPr>
        <w:t xml:space="preserve"> </w:t>
      </w:r>
      <w:hyperlink r:id="rId12" w:anchor="footnote-7" w:history="1">
        <w:r w:rsidRPr="00430B7D">
          <w:rPr>
            <w:rFonts w:eastAsia="Times New Roman" w:cstheme="minorHAnsi"/>
            <w:b/>
            <w:bCs/>
            <w:color w:val="115CA7"/>
            <w:vertAlign w:val="superscript"/>
          </w:rPr>
          <w:t> 7 </w:t>
        </w:r>
      </w:hyperlink>
      <w:r w:rsidRPr="00430B7D">
        <w:rPr>
          <w:rFonts w:eastAsia="Times New Roman" w:cstheme="minorHAnsi"/>
          <w:b/>
          <w:bCs/>
          <w:color w:val="030A13"/>
          <w:vertAlign w:val="superscript"/>
        </w:rPr>
        <w:t xml:space="preserve"> ]</w:t>
      </w:r>
      <w:r w:rsidR="00942FB3">
        <w:rPr>
          <w:rFonts w:eastAsia="Times New Roman" w:cstheme="minorHAnsi"/>
          <w:b/>
          <w:bCs/>
          <w:color w:val="030A13"/>
          <w:vertAlign w:val="superscript"/>
        </w:rPr>
        <w:t xml:space="preserve"> </w:t>
      </w:r>
      <w:r w:rsidRPr="00430B7D">
        <w:rPr>
          <w:rFonts w:eastAsia="Times New Roman" w:cstheme="minorHAnsi"/>
          <w:color w:val="030A13"/>
        </w:rPr>
        <w:t>—</w:t>
      </w:r>
      <w:r>
        <w:rPr>
          <w:rFonts w:eastAsia="Times New Roman" w:cstheme="minorHAnsi"/>
          <w:color w:val="030A13"/>
        </w:rPr>
        <w:t xml:space="preserve"> </w:t>
      </w:r>
      <w:r w:rsidRPr="00430B7D">
        <w:rPr>
          <w:rFonts w:eastAsia="Times New Roman" w:cstheme="minorHAnsi"/>
          <w:color w:val="030A13"/>
        </w:rPr>
        <w:t xml:space="preserve">that effectively engage and support students who are, or are at risk of becoming, chronically absent. </w:t>
      </w:r>
    </w:p>
    <w:p w:rsidR="00430B7D" w:rsidRPr="00430B7D" w:rsidRDefault="00430B7D" w:rsidP="00430B7D">
      <w:pPr>
        <w:spacing w:after="150" w:line="240" w:lineRule="auto"/>
        <w:rPr>
          <w:rFonts w:eastAsia="Times New Roman" w:cstheme="minorHAnsi"/>
          <w:color w:val="030A13"/>
        </w:rPr>
      </w:pPr>
      <w:r w:rsidRPr="00430B7D">
        <w:rPr>
          <w:rFonts w:eastAsia="Times New Roman" w:cstheme="minorHAnsi"/>
          <w:b/>
          <w:bCs/>
          <w:color w:val="030A13"/>
        </w:rPr>
        <w:t>Action Step 4:  Ensure responsibility across sectors.</w:t>
      </w:r>
      <w:r>
        <w:rPr>
          <w:rFonts w:eastAsia="Times New Roman" w:cstheme="minorHAnsi"/>
          <w:b/>
          <w:bCs/>
          <w:color w:val="030A13"/>
        </w:rPr>
        <w:t xml:space="preserve">  </w:t>
      </w:r>
      <w:r w:rsidRPr="00430B7D">
        <w:rPr>
          <w:rFonts w:eastAsia="Times New Roman" w:cstheme="minorHAnsi"/>
          <w:color w:val="030A13"/>
        </w:rPr>
        <w:t xml:space="preserve">Regularly communicate that chronic absenteeism is a problem that affects the whole community, not just those students who are chronically absent and their families. </w:t>
      </w:r>
      <w:r w:rsidR="00942FB3">
        <w:rPr>
          <w:rFonts w:eastAsia="Times New Roman" w:cstheme="minorHAnsi"/>
          <w:color w:val="030A13"/>
        </w:rPr>
        <w:t xml:space="preserve"> </w:t>
      </w:r>
      <w:r w:rsidRPr="00430B7D">
        <w:rPr>
          <w:rFonts w:eastAsia="Times New Roman" w:cstheme="minorHAnsi"/>
          <w:color w:val="030A13"/>
        </w:rPr>
        <w:t xml:space="preserve">Drive and evaluate cross-sector performance, at least in part, based on that </w:t>
      </w:r>
      <w:r>
        <w:rPr>
          <w:rFonts w:eastAsia="Times New Roman" w:cstheme="minorHAnsi"/>
          <w:color w:val="030A13"/>
        </w:rPr>
        <w:t>p</w:t>
      </w:r>
      <w:r w:rsidRPr="00430B7D">
        <w:rPr>
          <w:rFonts w:eastAsia="Times New Roman" w:cstheme="minorHAnsi"/>
          <w:color w:val="030A13"/>
        </w:rPr>
        <w:t>rinciple.</w:t>
      </w:r>
      <w:r>
        <w:rPr>
          <w:rFonts w:eastAsia="Times New Roman" w:cstheme="minorHAnsi"/>
          <w:color w:val="030A13"/>
        </w:rPr>
        <w:t xml:space="preserve"> </w:t>
      </w:r>
      <w:r w:rsidRPr="00430B7D">
        <w:rPr>
          <w:rFonts w:eastAsia="Times New Roman" w:cstheme="minorHAnsi"/>
          <w:color w:val="030A13"/>
        </w:rPr>
        <w:t xml:space="preserve"> Education, health, housing, and justice system leaders should work together to ensure shared accountability within and across sectors to successfully address the local, underlying causes of chronic absenteeism. </w:t>
      </w:r>
    </w:p>
    <w:p w:rsidR="00430B7D" w:rsidRPr="00430B7D" w:rsidRDefault="00430B7D" w:rsidP="00430B7D">
      <w:pPr>
        <w:spacing w:after="150" w:line="240" w:lineRule="auto"/>
        <w:rPr>
          <w:rFonts w:eastAsia="Times New Roman" w:cstheme="minorHAnsi"/>
          <w:color w:val="030A13"/>
        </w:rPr>
      </w:pPr>
      <w:r w:rsidRPr="00430B7D">
        <w:rPr>
          <w:rFonts w:eastAsia="Times New Roman" w:cstheme="minorHAnsi"/>
          <w:color w:val="030A13"/>
        </w:rPr>
        <w:t>As a nation, we must acknowledge that frequent absences from school can be devastating to a child's future. </w:t>
      </w:r>
      <w:bookmarkStart w:id="8" w:name="return-8"/>
      <w:bookmarkEnd w:id="8"/>
      <w:r w:rsidR="00942FB3">
        <w:rPr>
          <w:rFonts w:eastAsia="Times New Roman" w:cstheme="minorHAnsi"/>
          <w:color w:val="030A13"/>
        </w:rPr>
        <w:t xml:space="preserve"> </w:t>
      </w:r>
      <w:r w:rsidRPr="00430B7D">
        <w:rPr>
          <w:rFonts w:eastAsia="Times New Roman" w:cstheme="minorHAnsi"/>
          <w:color w:val="030A13"/>
        </w:rPr>
        <w:t>For example, children who are chronically absent in preschool, kindergarten, and first grade are much less likely to read at grade level by the third grade.</w:t>
      </w:r>
      <w:r w:rsidRPr="00430B7D">
        <w:rPr>
          <w:rFonts w:eastAsia="Times New Roman" w:cstheme="minorHAnsi"/>
          <w:b/>
          <w:bCs/>
          <w:color w:val="030A13"/>
          <w:vertAlign w:val="superscript"/>
        </w:rPr>
        <w:t xml:space="preserve">[ </w:t>
      </w:r>
      <w:hyperlink r:id="rId13" w:anchor="footnote-8" w:history="1">
        <w:r w:rsidRPr="00430B7D">
          <w:rPr>
            <w:rFonts w:eastAsia="Times New Roman" w:cstheme="minorHAnsi"/>
            <w:b/>
            <w:bCs/>
            <w:color w:val="115CA7"/>
            <w:vertAlign w:val="superscript"/>
          </w:rPr>
          <w:t> 8 </w:t>
        </w:r>
      </w:hyperlink>
      <w:r w:rsidRPr="00430B7D">
        <w:rPr>
          <w:rFonts w:eastAsia="Times New Roman" w:cstheme="minorHAnsi"/>
          <w:b/>
          <w:bCs/>
          <w:color w:val="030A13"/>
          <w:vertAlign w:val="superscript"/>
        </w:rPr>
        <w:t xml:space="preserve"> ]</w:t>
      </w:r>
      <w:bookmarkStart w:id="9" w:name="return-9"/>
      <w:bookmarkEnd w:id="9"/>
      <w:r>
        <w:rPr>
          <w:rFonts w:eastAsia="Times New Roman" w:cstheme="minorHAnsi"/>
          <w:b/>
          <w:bCs/>
          <w:color w:val="030A13"/>
          <w:vertAlign w:val="superscript"/>
        </w:rPr>
        <w:t xml:space="preserve">  </w:t>
      </w:r>
      <w:r w:rsidR="00942FB3">
        <w:rPr>
          <w:rFonts w:eastAsia="Times New Roman" w:cstheme="minorHAnsi"/>
          <w:b/>
          <w:bCs/>
          <w:color w:val="030A13"/>
          <w:vertAlign w:val="superscript"/>
        </w:rPr>
        <w:t xml:space="preserve"> </w:t>
      </w:r>
      <w:r w:rsidRPr="00430B7D">
        <w:rPr>
          <w:rFonts w:eastAsia="Times New Roman" w:cstheme="minorHAnsi"/>
          <w:color w:val="030A13"/>
        </w:rPr>
        <w:t>Students who cannot read at grade level by the end of third grade are four times more likely than proficient readers to drop out of high school.</w:t>
      </w:r>
      <w:r w:rsidRPr="00430B7D">
        <w:rPr>
          <w:rFonts w:eastAsia="Times New Roman" w:cstheme="minorHAnsi"/>
          <w:b/>
          <w:bCs/>
          <w:color w:val="030A13"/>
          <w:vertAlign w:val="superscript"/>
        </w:rPr>
        <w:t xml:space="preserve">[ </w:t>
      </w:r>
      <w:hyperlink r:id="rId14" w:anchor="footnote-9" w:history="1">
        <w:r w:rsidRPr="00430B7D">
          <w:rPr>
            <w:rFonts w:eastAsia="Times New Roman" w:cstheme="minorHAnsi"/>
            <w:b/>
            <w:bCs/>
            <w:color w:val="115CA7"/>
            <w:vertAlign w:val="superscript"/>
          </w:rPr>
          <w:t> 9 </w:t>
        </w:r>
      </w:hyperlink>
      <w:r w:rsidRPr="00430B7D">
        <w:rPr>
          <w:rFonts w:eastAsia="Times New Roman" w:cstheme="minorHAnsi"/>
          <w:b/>
          <w:bCs/>
          <w:color w:val="030A13"/>
          <w:vertAlign w:val="superscript"/>
        </w:rPr>
        <w:t xml:space="preserve"> ]</w:t>
      </w:r>
      <w:r>
        <w:rPr>
          <w:rFonts w:eastAsia="Times New Roman" w:cstheme="minorHAnsi"/>
          <w:b/>
          <w:bCs/>
          <w:color w:val="030A13"/>
          <w:vertAlign w:val="superscript"/>
        </w:rPr>
        <w:t xml:space="preserve">  </w:t>
      </w:r>
      <w:r w:rsidRPr="00430B7D">
        <w:rPr>
          <w:rFonts w:eastAsia="Times New Roman" w:cstheme="minorHAnsi"/>
          <w:color w:val="030A13"/>
        </w:rPr>
        <w:t xml:space="preserve">By high school, irregular attendance is a better predictor of school dropout than test scores.  </w:t>
      </w:r>
      <w:bookmarkStart w:id="10" w:name="return-10"/>
      <w:bookmarkEnd w:id="10"/>
      <w:r w:rsidRPr="00430B7D">
        <w:rPr>
          <w:rFonts w:eastAsia="Times New Roman" w:cstheme="minorHAnsi"/>
          <w:color w:val="030A13"/>
        </w:rPr>
        <w:t>A study of public school students in Utah found that a student who is chronically absent in even a single school year between the eighth and twelfth grades is over seven times more likely to drop out of school than a student who is not chronically absent.</w:t>
      </w:r>
      <w:r w:rsidRPr="00430B7D">
        <w:rPr>
          <w:rFonts w:eastAsia="Times New Roman" w:cstheme="minorHAnsi"/>
          <w:b/>
          <w:bCs/>
          <w:color w:val="030A13"/>
          <w:vertAlign w:val="superscript"/>
        </w:rPr>
        <w:t xml:space="preserve">[ </w:t>
      </w:r>
      <w:hyperlink r:id="rId15" w:anchor="footnote-10" w:history="1">
        <w:r w:rsidRPr="00430B7D">
          <w:rPr>
            <w:rFonts w:eastAsia="Times New Roman" w:cstheme="minorHAnsi"/>
            <w:b/>
            <w:bCs/>
            <w:color w:val="115CA7"/>
            <w:vertAlign w:val="superscript"/>
          </w:rPr>
          <w:t> 10 </w:t>
        </w:r>
      </w:hyperlink>
      <w:r w:rsidRPr="00430B7D">
        <w:rPr>
          <w:rFonts w:eastAsia="Times New Roman" w:cstheme="minorHAnsi"/>
          <w:b/>
          <w:bCs/>
          <w:color w:val="030A13"/>
          <w:vertAlign w:val="superscript"/>
        </w:rPr>
        <w:t xml:space="preserve"> ]</w:t>
      </w:r>
      <w:r w:rsidRPr="00430B7D">
        <w:rPr>
          <w:rFonts w:eastAsia="Times New Roman" w:cstheme="minorHAnsi"/>
          <w:color w:val="030A13"/>
        </w:rPr>
        <w:t xml:space="preserve"> </w:t>
      </w:r>
      <w:bookmarkStart w:id="11" w:name="return-11"/>
      <w:bookmarkEnd w:id="11"/>
      <w:r w:rsidR="00942FB3">
        <w:rPr>
          <w:rFonts w:eastAsia="Times New Roman" w:cstheme="minorHAnsi"/>
          <w:color w:val="030A13"/>
        </w:rPr>
        <w:t xml:space="preserve"> </w:t>
      </w:r>
      <w:r w:rsidRPr="00430B7D">
        <w:rPr>
          <w:rFonts w:eastAsia="Times New Roman" w:cstheme="minorHAnsi"/>
          <w:color w:val="030A13"/>
        </w:rPr>
        <w:t>Students who are homeless and those who reside in public housing are also particularly at risk of being chronically absent from school.</w:t>
      </w:r>
      <w:r w:rsidRPr="00430B7D">
        <w:rPr>
          <w:rFonts w:eastAsia="Times New Roman" w:cstheme="minorHAnsi"/>
          <w:b/>
          <w:bCs/>
          <w:color w:val="030A13"/>
          <w:vertAlign w:val="superscript"/>
        </w:rPr>
        <w:t xml:space="preserve">[ </w:t>
      </w:r>
      <w:hyperlink r:id="rId16" w:anchor="footnote-11" w:history="1">
        <w:r w:rsidRPr="00430B7D">
          <w:rPr>
            <w:rFonts w:eastAsia="Times New Roman" w:cstheme="minorHAnsi"/>
            <w:b/>
            <w:bCs/>
            <w:color w:val="115CA7"/>
            <w:vertAlign w:val="superscript"/>
          </w:rPr>
          <w:t> 11 </w:t>
        </w:r>
      </w:hyperlink>
      <w:r w:rsidRPr="00430B7D">
        <w:rPr>
          <w:rFonts w:eastAsia="Times New Roman" w:cstheme="minorHAnsi"/>
          <w:b/>
          <w:bCs/>
          <w:color w:val="030A13"/>
          <w:vertAlign w:val="superscript"/>
        </w:rPr>
        <w:t xml:space="preserve"> ]</w:t>
      </w:r>
      <w:r w:rsidRPr="00430B7D">
        <w:rPr>
          <w:rFonts w:eastAsia="Times New Roman" w:cstheme="minorHAnsi"/>
          <w:color w:val="030A13"/>
        </w:rPr>
        <w:t xml:space="preserve"> </w:t>
      </w:r>
    </w:p>
    <w:p w:rsidR="00430B7D" w:rsidRPr="00430B7D" w:rsidRDefault="00430B7D" w:rsidP="00430B7D">
      <w:pPr>
        <w:spacing w:after="150" w:line="240" w:lineRule="auto"/>
        <w:rPr>
          <w:rFonts w:eastAsia="Times New Roman" w:cstheme="minorHAnsi"/>
          <w:color w:val="030A13"/>
        </w:rPr>
      </w:pPr>
      <w:r w:rsidRPr="00430B7D">
        <w:rPr>
          <w:rFonts w:eastAsia="Times New Roman" w:cstheme="minorHAnsi"/>
          <w:color w:val="030A13"/>
        </w:rPr>
        <w:t xml:space="preserve">Research further demonstrates that completing high school is not only a strong predictor of adult success but also of adult physical and mental health outcomes and involvement with the criminal justice system.  </w:t>
      </w:r>
      <w:bookmarkStart w:id="12" w:name="return-12"/>
      <w:bookmarkEnd w:id="12"/>
      <w:r w:rsidRPr="00430B7D">
        <w:rPr>
          <w:rFonts w:eastAsia="Times New Roman" w:cstheme="minorHAnsi"/>
          <w:color w:val="030A13"/>
        </w:rPr>
        <w:t>Students who do not graduate from high school have worse health and greater health risks as adults than their peers who graduate.</w:t>
      </w:r>
      <w:r w:rsidRPr="00430B7D">
        <w:rPr>
          <w:rFonts w:eastAsia="Times New Roman" w:cstheme="minorHAnsi"/>
          <w:b/>
          <w:bCs/>
          <w:color w:val="030A13"/>
          <w:vertAlign w:val="superscript"/>
        </w:rPr>
        <w:t xml:space="preserve">[ </w:t>
      </w:r>
      <w:hyperlink r:id="rId17" w:anchor="footnote-12" w:history="1">
        <w:r w:rsidRPr="00430B7D">
          <w:rPr>
            <w:rFonts w:eastAsia="Times New Roman" w:cstheme="minorHAnsi"/>
            <w:b/>
            <w:bCs/>
            <w:color w:val="115CA7"/>
            <w:vertAlign w:val="superscript"/>
          </w:rPr>
          <w:t> 12 </w:t>
        </w:r>
      </w:hyperlink>
      <w:r w:rsidRPr="00430B7D">
        <w:rPr>
          <w:rFonts w:eastAsia="Times New Roman" w:cstheme="minorHAnsi"/>
          <w:b/>
          <w:bCs/>
          <w:color w:val="030A13"/>
          <w:vertAlign w:val="superscript"/>
        </w:rPr>
        <w:t xml:space="preserve"> ]</w:t>
      </w:r>
      <w:r w:rsidRPr="00430B7D">
        <w:rPr>
          <w:rFonts w:eastAsia="Times New Roman" w:cstheme="minorHAnsi"/>
          <w:color w:val="030A13"/>
        </w:rPr>
        <w:t xml:space="preserve"> </w:t>
      </w:r>
      <w:bookmarkStart w:id="13" w:name="return-13"/>
      <w:bookmarkEnd w:id="13"/>
      <w:r>
        <w:rPr>
          <w:rFonts w:eastAsia="Times New Roman" w:cstheme="minorHAnsi"/>
          <w:color w:val="030A13"/>
        </w:rPr>
        <w:t xml:space="preserve"> </w:t>
      </w:r>
      <w:r w:rsidRPr="00430B7D">
        <w:rPr>
          <w:rFonts w:eastAsia="Times New Roman" w:cstheme="minorHAnsi"/>
          <w:color w:val="030A13"/>
        </w:rPr>
        <w:t>They also have more frequent, negative contact with law enforcement,</w:t>
      </w:r>
      <w:r w:rsidRPr="00430B7D">
        <w:rPr>
          <w:rFonts w:eastAsia="Times New Roman" w:cstheme="minorHAnsi"/>
          <w:b/>
          <w:bCs/>
          <w:color w:val="030A13"/>
          <w:vertAlign w:val="superscript"/>
        </w:rPr>
        <w:t xml:space="preserve">[ </w:t>
      </w:r>
      <w:hyperlink r:id="rId18" w:anchor="footnote-13" w:history="1">
        <w:r w:rsidRPr="00430B7D">
          <w:rPr>
            <w:rFonts w:eastAsia="Times New Roman" w:cstheme="minorHAnsi"/>
            <w:b/>
            <w:bCs/>
            <w:color w:val="115CA7"/>
            <w:vertAlign w:val="superscript"/>
          </w:rPr>
          <w:t> 13 </w:t>
        </w:r>
      </w:hyperlink>
      <w:r w:rsidRPr="00430B7D">
        <w:rPr>
          <w:rFonts w:eastAsia="Times New Roman" w:cstheme="minorHAnsi"/>
          <w:b/>
          <w:bCs/>
          <w:color w:val="030A13"/>
          <w:vertAlign w:val="superscript"/>
        </w:rPr>
        <w:t xml:space="preserve"> ]</w:t>
      </w:r>
      <w:r w:rsidRPr="00430B7D">
        <w:rPr>
          <w:rFonts w:eastAsia="Times New Roman" w:cstheme="minorHAnsi"/>
          <w:color w:val="030A13"/>
        </w:rPr>
        <w:t>contributing to a cycle of poverty, poor health, homelessness, and incarceration. </w:t>
      </w:r>
      <w:r w:rsidR="00942FB3">
        <w:rPr>
          <w:rFonts w:eastAsia="Times New Roman" w:cstheme="minorHAnsi"/>
          <w:color w:val="030A13"/>
        </w:rPr>
        <w:t xml:space="preserve"> </w:t>
      </w:r>
      <w:r w:rsidRPr="00430B7D">
        <w:rPr>
          <w:rFonts w:eastAsia="Times New Roman" w:cstheme="minorHAnsi"/>
          <w:color w:val="030A13"/>
        </w:rPr>
        <w:t>These data strongly suggest that the long-term consequence of chronic absenteeism is a population that is less educated, less healthy, underemployed, less financially stable, and more disenfranchised.</w:t>
      </w:r>
    </w:p>
    <w:p w:rsidR="00430B7D" w:rsidRPr="00430B7D" w:rsidRDefault="00430B7D" w:rsidP="00430B7D">
      <w:pPr>
        <w:spacing w:after="150" w:line="240" w:lineRule="auto"/>
        <w:rPr>
          <w:rFonts w:eastAsia="Times New Roman" w:cstheme="minorHAnsi"/>
          <w:color w:val="030A13"/>
        </w:rPr>
      </w:pPr>
      <w:r w:rsidRPr="00430B7D">
        <w:rPr>
          <w:rFonts w:eastAsia="Times New Roman" w:cstheme="minorHAnsi"/>
          <w:color w:val="030A13"/>
        </w:rPr>
        <w:t>We recognize that attendance tracking systems in many school districts across the country are not required or designed to measure chronic absenteeism among local youth.</w:t>
      </w:r>
      <w:r w:rsidR="00942FB3">
        <w:rPr>
          <w:rFonts w:eastAsia="Times New Roman" w:cstheme="minorHAnsi"/>
          <w:color w:val="030A13"/>
        </w:rPr>
        <w:t xml:space="preserve"> </w:t>
      </w:r>
      <w:r w:rsidRPr="00430B7D">
        <w:rPr>
          <w:rFonts w:eastAsia="Times New Roman" w:cstheme="minorHAnsi"/>
          <w:color w:val="030A13"/>
        </w:rPr>
        <w:t> </w:t>
      </w:r>
      <w:bookmarkStart w:id="14" w:name="return-14"/>
      <w:bookmarkEnd w:id="14"/>
      <w:r w:rsidRPr="00430B7D">
        <w:rPr>
          <w:rFonts w:eastAsia="Times New Roman" w:cstheme="minorHAnsi"/>
          <w:color w:val="030A13"/>
        </w:rPr>
        <w:t>In fact, efforts to improve average daily attendance often mask the extent of a school’s chronic absenteeism problem and fail to address its underlying causes.</w:t>
      </w:r>
      <w:r w:rsidRPr="00430B7D">
        <w:rPr>
          <w:rFonts w:eastAsia="Times New Roman" w:cstheme="minorHAnsi"/>
          <w:b/>
          <w:bCs/>
          <w:color w:val="030A13"/>
          <w:vertAlign w:val="superscript"/>
        </w:rPr>
        <w:t xml:space="preserve">[ </w:t>
      </w:r>
      <w:hyperlink r:id="rId19" w:anchor="footnote-14" w:history="1">
        <w:r w:rsidRPr="00430B7D">
          <w:rPr>
            <w:rFonts w:eastAsia="Times New Roman" w:cstheme="minorHAnsi"/>
            <w:b/>
            <w:bCs/>
            <w:color w:val="115CA7"/>
            <w:vertAlign w:val="superscript"/>
          </w:rPr>
          <w:t> 14 </w:t>
        </w:r>
      </w:hyperlink>
      <w:r w:rsidRPr="00430B7D">
        <w:rPr>
          <w:rFonts w:eastAsia="Times New Roman" w:cstheme="minorHAnsi"/>
          <w:b/>
          <w:bCs/>
          <w:color w:val="030A13"/>
          <w:vertAlign w:val="superscript"/>
        </w:rPr>
        <w:t xml:space="preserve"> ]</w:t>
      </w:r>
      <w:bookmarkStart w:id="15" w:name="return-15"/>
      <w:bookmarkEnd w:id="15"/>
      <w:r>
        <w:rPr>
          <w:rFonts w:eastAsia="Times New Roman" w:cstheme="minorHAnsi"/>
          <w:b/>
          <w:bCs/>
          <w:color w:val="030A13"/>
          <w:vertAlign w:val="superscript"/>
        </w:rPr>
        <w:t xml:space="preserve">  </w:t>
      </w:r>
      <w:r w:rsidR="00942FB3">
        <w:rPr>
          <w:rFonts w:eastAsia="Times New Roman" w:cstheme="minorHAnsi"/>
          <w:b/>
          <w:bCs/>
          <w:color w:val="030A13"/>
          <w:vertAlign w:val="superscript"/>
        </w:rPr>
        <w:t xml:space="preserve"> </w:t>
      </w:r>
      <w:r w:rsidRPr="00430B7D">
        <w:rPr>
          <w:rFonts w:eastAsia="Times New Roman" w:cstheme="minorHAnsi"/>
          <w:color w:val="030A13"/>
        </w:rPr>
        <w:t>Adding to the challenge, educators, families, and youth are not sufficiently aware of the frequency and negative impact of chronic absence from school.</w:t>
      </w:r>
      <w:r w:rsidRPr="00430B7D">
        <w:rPr>
          <w:rFonts w:eastAsia="Times New Roman" w:cstheme="minorHAnsi"/>
          <w:b/>
          <w:bCs/>
          <w:color w:val="030A13"/>
          <w:vertAlign w:val="superscript"/>
        </w:rPr>
        <w:t xml:space="preserve">[ </w:t>
      </w:r>
      <w:hyperlink r:id="rId20" w:anchor="footnote-15" w:history="1">
        <w:r w:rsidRPr="00430B7D">
          <w:rPr>
            <w:rFonts w:eastAsia="Times New Roman" w:cstheme="minorHAnsi"/>
            <w:b/>
            <w:bCs/>
            <w:color w:val="115CA7"/>
            <w:vertAlign w:val="superscript"/>
          </w:rPr>
          <w:t> 15 </w:t>
        </w:r>
      </w:hyperlink>
      <w:r w:rsidRPr="00430B7D">
        <w:rPr>
          <w:rFonts w:eastAsia="Times New Roman" w:cstheme="minorHAnsi"/>
          <w:b/>
          <w:bCs/>
          <w:color w:val="030A13"/>
          <w:vertAlign w:val="superscript"/>
        </w:rPr>
        <w:t xml:space="preserve"> ]</w:t>
      </w:r>
      <w:bookmarkStart w:id="16" w:name="return-16"/>
      <w:bookmarkEnd w:id="16"/>
      <w:r w:rsidRPr="00430B7D">
        <w:rPr>
          <w:rFonts w:eastAsia="Times New Roman" w:cstheme="minorHAnsi"/>
          <w:color w:val="030A13"/>
        </w:rPr>
        <w:t>In many school districts and communities, the focus is on "unexcused" absences or truancy at the middle and high school level, even though research shows that chronic absence in the early grades is also a major problem, whether excused or unexcused.</w:t>
      </w:r>
      <w:r w:rsidRPr="00430B7D">
        <w:rPr>
          <w:rFonts w:eastAsia="Times New Roman" w:cstheme="minorHAnsi"/>
          <w:b/>
          <w:bCs/>
          <w:color w:val="030A13"/>
          <w:vertAlign w:val="superscript"/>
        </w:rPr>
        <w:t xml:space="preserve">[ </w:t>
      </w:r>
      <w:hyperlink r:id="rId21" w:anchor="footnote-16" w:history="1">
        <w:r w:rsidRPr="00430B7D">
          <w:rPr>
            <w:rFonts w:eastAsia="Times New Roman" w:cstheme="minorHAnsi"/>
            <w:b/>
            <w:bCs/>
            <w:color w:val="115CA7"/>
            <w:vertAlign w:val="superscript"/>
          </w:rPr>
          <w:t> 16 </w:t>
        </w:r>
      </w:hyperlink>
      <w:r w:rsidRPr="00430B7D">
        <w:rPr>
          <w:rFonts w:eastAsia="Times New Roman" w:cstheme="minorHAnsi"/>
          <w:b/>
          <w:bCs/>
          <w:color w:val="030A13"/>
          <w:vertAlign w:val="superscript"/>
        </w:rPr>
        <w:t xml:space="preserve"> ]</w:t>
      </w:r>
      <w:r>
        <w:rPr>
          <w:rFonts w:eastAsia="Times New Roman" w:cstheme="minorHAnsi"/>
          <w:b/>
          <w:bCs/>
          <w:color w:val="030A13"/>
          <w:vertAlign w:val="superscript"/>
        </w:rPr>
        <w:t xml:space="preserve">  </w:t>
      </w:r>
      <w:r w:rsidR="00942FB3">
        <w:rPr>
          <w:rFonts w:eastAsia="Times New Roman" w:cstheme="minorHAnsi"/>
          <w:b/>
          <w:bCs/>
          <w:color w:val="030A13"/>
          <w:vertAlign w:val="superscript"/>
        </w:rPr>
        <w:t xml:space="preserve"> </w:t>
      </w:r>
      <w:r w:rsidRPr="00430B7D">
        <w:rPr>
          <w:rFonts w:eastAsia="Times New Roman" w:cstheme="minorHAnsi"/>
          <w:color w:val="030A13"/>
        </w:rPr>
        <w:t xml:space="preserve">Common interventions are often punitive in nature and blame is frequently placed on students and their families. </w:t>
      </w:r>
      <w:bookmarkStart w:id="17" w:name="return-17"/>
      <w:bookmarkEnd w:id="17"/>
      <w:r w:rsidRPr="00430B7D">
        <w:rPr>
          <w:rFonts w:eastAsia="Times New Roman" w:cstheme="minorHAnsi"/>
          <w:color w:val="030A13"/>
        </w:rPr>
        <w:t>Ultimately, such responses have the deleterious, if unintended, effect of making school less, not more, engaging for students and families, and these practices undermine efforts to assist our most struggling schools and students</w:t>
      </w:r>
      <w:proofErr w:type="gramStart"/>
      <w:r w:rsidRPr="00430B7D">
        <w:rPr>
          <w:rFonts w:eastAsia="Times New Roman" w:cstheme="minorHAnsi"/>
          <w:color w:val="030A13"/>
        </w:rPr>
        <w:t>.</w:t>
      </w:r>
      <w:r w:rsidRPr="00430B7D">
        <w:rPr>
          <w:rFonts w:eastAsia="Times New Roman" w:cstheme="minorHAnsi"/>
          <w:b/>
          <w:bCs/>
          <w:color w:val="030A13"/>
          <w:vertAlign w:val="superscript"/>
        </w:rPr>
        <w:t>[</w:t>
      </w:r>
      <w:proofErr w:type="gramEnd"/>
      <w:r w:rsidRPr="00430B7D">
        <w:rPr>
          <w:rFonts w:eastAsia="Times New Roman" w:cstheme="minorHAnsi"/>
          <w:b/>
          <w:bCs/>
          <w:color w:val="030A13"/>
          <w:vertAlign w:val="superscript"/>
        </w:rPr>
        <w:t xml:space="preserve"> </w:t>
      </w:r>
      <w:hyperlink r:id="rId22" w:anchor="footnote-17" w:history="1">
        <w:r w:rsidRPr="00430B7D">
          <w:rPr>
            <w:rFonts w:eastAsia="Times New Roman" w:cstheme="minorHAnsi"/>
            <w:b/>
            <w:bCs/>
            <w:color w:val="115CA7"/>
            <w:vertAlign w:val="superscript"/>
          </w:rPr>
          <w:t> 17 </w:t>
        </w:r>
      </w:hyperlink>
      <w:r w:rsidRPr="00430B7D">
        <w:rPr>
          <w:rFonts w:eastAsia="Times New Roman" w:cstheme="minorHAnsi"/>
          <w:b/>
          <w:bCs/>
          <w:color w:val="030A13"/>
          <w:vertAlign w:val="superscript"/>
        </w:rPr>
        <w:t xml:space="preserve"> ]</w:t>
      </w:r>
    </w:p>
    <w:p w:rsidR="00430B7D" w:rsidRPr="00430B7D" w:rsidRDefault="00430B7D" w:rsidP="00430B7D">
      <w:pPr>
        <w:spacing w:after="150" w:line="240" w:lineRule="auto"/>
        <w:rPr>
          <w:rFonts w:eastAsia="Times New Roman" w:cstheme="minorHAnsi"/>
          <w:color w:val="030A13"/>
        </w:rPr>
      </w:pPr>
      <w:r w:rsidRPr="00430B7D">
        <w:rPr>
          <w:rFonts w:eastAsia="Times New Roman" w:cstheme="minorHAnsi"/>
          <w:color w:val="030A13"/>
        </w:rPr>
        <w:t>In spring 2016, ED will release the 2013-14 Civil Rights Data Collection (CRDC), including the first-ever school-level data on all students across the nation who missed at least 15 days of school for any reason, which translates into approximately 8.5 percent of a typical school year.  We anticipate that the CRDC will shed new light on the scope of the chronic absenteeism problem, including where it is most prevalent and whom it most affects, and further catalyze efforts to engage students who are, or are at risk of becoming, chronically absent.</w:t>
      </w:r>
    </w:p>
    <w:p w:rsidR="00430B7D" w:rsidRPr="00430B7D" w:rsidRDefault="00430B7D" w:rsidP="00430B7D">
      <w:pPr>
        <w:spacing w:after="0" w:line="240" w:lineRule="auto"/>
        <w:rPr>
          <w:rFonts w:eastAsia="Times New Roman" w:cstheme="minorHAnsi"/>
          <w:color w:val="030A13"/>
        </w:rPr>
      </w:pPr>
      <w:r w:rsidRPr="00430B7D">
        <w:rPr>
          <w:rFonts w:eastAsia="Times New Roman" w:cstheme="minorHAnsi"/>
          <w:color w:val="030A13"/>
        </w:rPr>
        <w:t>However, we can and must do more now to address the negative and disparate outcomes experienced by students who are chronically absent. </w:t>
      </w:r>
      <w:r w:rsidR="00942FB3">
        <w:rPr>
          <w:rFonts w:eastAsia="Times New Roman" w:cstheme="minorHAnsi"/>
          <w:color w:val="030A13"/>
        </w:rPr>
        <w:t xml:space="preserve"> </w:t>
      </w:r>
      <w:r w:rsidRPr="00430B7D">
        <w:rPr>
          <w:rFonts w:eastAsia="Times New Roman" w:cstheme="minorHAnsi"/>
          <w:color w:val="030A13"/>
        </w:rPr>
        <w:t>By acting early and effectively in a coordinated, cross-sector manner</w:t>
      </w:r>
      <w:r>
        <w:rPr>
          <w:rFonts w:eastAsia="Times New Roman" w:cstheme="minorHAnsi"/>
          <w:color w:val="030A13"/>
        </w:rPr>
        <w:t xml:space="preserve"> </w:t>
      </w:r>
      <w:r w:rsidRPr="00430B7D">
        <w:rPr>
          <w:rFonts w:eastAsia="Times New Roman" w:cstheme="minorHAnsi"/>
          <w:color w:val="030A13"/>
        </w:rPr>
        <w:t>—</w:t>
      </w:r>
      <w:r>
        <w:rPr>
          <w:rFonts w:eastAsia="Times New Roman" w:cstheme="minorHAnsi"/>
          <w:color w:val="030A13"/>
        </w:rPr>
        <w:t xml:space="preserve"> </w:t>
      </w:r>
      <w:r w:rsidRPr="00430B7D">
        <w:rPr>
          <w:rFonts w:eastAsia="Times New Roman" w:cstheme="minorHAnsi"/>
          <w:color w:val="030A13"/>
        </w:rPr>
        <w:t>from the Federal government to every school and community in the country</w:t>
      </w:r>
      <w:r>
        <w:rPr>
          <w:rFonts w:eastAsia="Times New Roman" w:cstheme="minorHAnsi"/>
          <w:color w:val="030A13"/>
        </w:rPr>
        <w:t xml:space="preserve"> </w:t>
      </w:r>
      <w:r w:rsidRPr="00430B7D">
        <w:rPr>
          <w:rFonts w:eastAsia="Times New Roman" w:cstheme="minorHAnsi"/>
          <w:color w:val="030A13"/>
        </w:rPr>
        <w:t>—</w:t>
      </w:r>
      <w:r>
        <w:rPr>
          <w:rFonts w:eastAsia="Times New Roman" w:cstheme="minorHAnsi"/>
          <w:color w:val="030A13"/>
        </w:rPr>
        <w:t xml:space="preserve"> </w:t>
      </w:r>
      <w:r w:rsidRPr="00430B7D">
        <w:rPr>
          <w:rFonts w:eastAsia="Times New Roman" w:cstheme="minorHAnsi"/>
          <w:color w:val="030A13"/>
        </w:rPr>
        <w:t xml:space="preserve">we can </w:t>
      </w:r>
      <w:r w:rsidRPr="00430B7D">
        <w:rPr>
          <w:rFonts w:eastAsia="Times New Roman" w:cstheme="minorHAnsi"/>
          <w:color w:val="030A13"/>
        </w:rPr>
        <w:lastRenderedPageBreak/>
        <w:t>dramatically improve the academic and life outcomes of millions of young people who have been disengaged from a daily, supportive school experience.  The health and well-being of our nation demands that we do no less.</w:t>
      </w:r>
    </w:p>
    <w:p w:rsidR="00430B7D" w:rsidRPr="00430B7D" w:rsidRDefault="00430B7D" w:rsidP="00430B7D">
      <w:pPr>
        <w:spacing w:after="240" w:line="240" w:lineRule="auto"/>
        <w:jc w:val="center"/>
        <w:rPr>
          <w:rFonts w:eastAsia="Times New Roman" w:cstheme="minorHAnsi"/>
          <w:color w:val="030A13"/>
        </w:rPr>
      </w:pPr>
      <w:r w:rsidRPr="00430B7D">
        <w:rPr>
          <w:rFonts w:eastAsia="Times New Roman" w:cstheme="minorHAnsi"/>
          <w:color w:val="030A13"/>
        </w:rPr>
        <w:t xml:space="preserve">Sincerely, </w:t>
      </w:r>
    </w:p>
    <w:tbl>
      <w:tblPr>
        <w:tblW w:w="4750" w:type="pct"/>
        <w:jc w:val="center"/>
        <w:tblCellMar>
          <w:top w:w="15" w:type="dxa"/>
          <w:left w:w="15" w:type="dxa"/>
          <w:bottom w:w="15" w:type="dxa"/>
          <w:right w:w="15" w:type="dxa"/>
        </w:tblCellMar>
        <w:tblLook w:val="04A0" w:firstRow="1" w:lastRow="0" w:firstColumn="1" w:lastColumn="0" w:noHBand="0" w:noVBand="1"/>
      </w:tblPr>
      <w:tblGrid>
        <w:gridCol w:w="4357"/>
        <w:gridCol w:w="4535"/>
      </w:tblGrid>
      <w:tr w:rsidR="00430B7D" w:rsidRPr="00430B7D" w:rsidTr="00430B7D">
        <w:trPr>
          <w:jc w:val="center"/>
        </w:trPr>
        <w:tc>
          <w:tcPr>
            <w:tcW w:w="2450" w:type="pct"/>
            <w:shd w:val="clear" w:color="auto" w:fill="auto"/>
            <w:tcMar>
              <w:top w:w="0" w:type="dxa"/>
              <w:left w:w="0" w:type="dxa"/>
              <w:bottom w:w="0" w:type="dxa"/>
              <w:right w:w="0" w:type="dxa"/>
            </w:tcMar>
            <w:vAlign w:val="center"/>
            <w:hideMark/>
          </w:tcPr>
          <w:p w:rsidR="00430B7D" w:rsidRPr="00430B7D" w:rsidRDefault="00430B7D" w:rsidP="00430B7D">
            <w:pPr>
              <w:spacing w:after="0" w:line="240" w:lineRule="auto"/>
              <w:jc w:val="center"/>
              <w:rPr>
                <w:rFonts w:eastAsia="Times New Roman" w:cstheme="minorHAnsi"/>
                <w:color w:val="030A13"/>
              </w:rPr>
            </w:pPr>
            <w:r w:rsidRPr="00430B7D">
              <w:rPr>
                <w:rFonts w:eastAsia="Times New Roman" w:cstheme="minorHAnsi"/>
                <w:color w:val="030A13"/>
              </w:rPr>
              <w:t>/s/</w:t>
            </w:r>
          </w:p>
        </w:tc>
        <w:tc>
          <w:tcPr>
            <w:tcW w:w="2550" w:type="pct"/>
            <w:shd w:val="clear" w:color="auto" w:fill="auto"/>
            <w:tcMar>
              <w:top w:w="0" w:type="dxa"/>
              <w:left w:w="0" w:type="dxa"/>
              <w:bottom w:w="0" w:type="dxa"/>
              <w:right w:w="0" w:type="dxa"/>
            </w:tcMar>
            <w:vAlign w:val="center"/>
            <w:hideMark/>
          </w:tcPr>
          <w:p w:rsidR="00430B7D" w:rsidRPr="00430B7D" w:rsidRDefault="00430B7D" w:rsidP="00430B7D">
            <w:pPr>
              <w:spacing w:after="0" w:line="240" w:lineRule="auto"/>
              <w:jc w:val="center"/>
              <w:rPr>
                <w:rFonts w:eastAsia="Times New Roman" w:cstheme="minorHAnsi"/>
                <w:color w:val="030A13"/>
              </w:rPr>
            </w:pPr>
            <w:r w:rsidRPr="00430B7D">
              <w:rPr>
                <w:rFonts w:eastAsia="Times New Roman" w:cstheme="minorHAnsi"/>
                <w:color w:val="030A13"/>
              </w:rPr>
              <w:t>/s/</w:t>
            </w:r>
          </w:p>
        </w:tc>
      </w:tr>
      <w:tr w:rsidR="00430B7D" w:rsidRPr="00430B7D" w:rsidTr="00430B7D">
        <w:trPr>
          <w:jc w:val="center"/>
        </w:trPr>
        <w:tc>
          <w:tcPr>
            <w:tcW w:w="0" w:type="auto"/>
            <w:shd w:val="clear" w:color="auto" w:fill="auto"/>
            <w:tcMar>
              <w:top w:w="0" w:type="dxa"/>
              <w:left w:w="0" w:type="dxa"/>
              <w:bottom w:w="0" w:type="dxa"/>
              <w:right w:w="0" w:type="dxa"/>
            </w:tcMar>
            <w:vAlign w:val="center"/>
            <w:hideMark/>
          </w:tcPr>
          <w:p w:rsidR="00430B7D" w:rsidRPr="00430B7D" w:rsidRDefault="00430B7D" w:rsidP="00430B7D">
            <w:pPr>
              <w:spacing w:after="0" w:line="240" w:lineRule="auto"/>
              <w:jc w:val="center"/>
              <w:rPr>
                <w:rFonts w:eastAsia="Times New Roman" w:cstheme="minorHAnsi"/>
                <w:color w:val="030A13"/>
              </w:rPr>
            </w:pPr>
            <w:r w:rsidRPr="00430B7D">
              <w:rPr>
                <w:rFonts w:eastAsia="Times New Roman" w:cstheme="minorHAnsi"/>
                <w:color w:val="030A13"/>
              </w:rPr>
              <w:t>Loretta Lynch</w:t>
            </w:r>
          </w:p>
        </w:tc>
        <w:tc>
          <w:tcPr>
            <w:tcW w:w="0" w:type="auto"/>
            <w:shd w:val="clear" w:color="auto" w:fill="auto"/>
            <w:tcMar>
              <w:top w:w="0" w:type="dxa"/>
              <w:left w:w="0" w:type="dxa"/>
              <w:bottom w:w="0" w:type="dxa"/>
              <w:right w:w="0" w:type="dxa"/>
            </w:tcMar>
            <w:vAlign w:val="center"/>
            <w:hideMark/>
          </w:tcPr>
          <w:p w:rsidR="00430B7D" w:rsidRPr="00430B7D" w:rsidRDefault="00430B7D" w:rsidP="00430B7D">
            <w:pPr>
              <w:spacing w:after="0" w:line="240" w:lineRule="auto"/>
              <w:jc w:val="center"/>
              <w:rPr>
                <w:rFonts w:eastAsia="Times New Roman" w:cstheme="minorHAnsi"/>
                <w:color w:val="030A13"/>
              </w:rPr>
            </w:pPr>
            <w:r w:rsidRPr="00430B7D">
              <w:rPr>
                <w:rFonts w:eastAsia="Times New Roman" w:cstheme="minorHAnsi"/>
                <w:color w:val="030A13"/>
              </w:rPr>
              <w:t>Sylvia Burwell</w:t>
            </w:r>
          </w:p>
        </w:tc>
      </w:tr>
      <w:tr w:rsidR="00430B7D" w:rsidRPr="00430B7D" w:rsidTr="00430B7D">
        <w:trPr>
          <w:jc w:val="center"/>
        </w:trPr>
        <w:tc>
          <w:tcPr>
            <w:tcW w:w="0" w:type="auto"/>
            <w:shd w:val="clear" w:color="auto" w:fill="auto"/>
            <w:tcMar>
              <w:top w:w="0" w:type="dxa"/>
              <w:left w:w="0" w:type="dxa"/>
              <w:bottom w:w="0" w:type="dxa"/>
              <w:right w:w="0" w:type="dxa"/>
            </w:tcMar>
            <w:vAlign w:val="center"/>
            <w:hideMark/>
          </w:tcPr>
          <w:p w:rsidR="00430B7D" w:rsidRPr="00430B7D" w:rsidRDefault="00430B7D" w:rsidP="00430B7D">
            <w:pPr>
              <w:spacing w:after="0" w:line="240" w:lineRule="auto"/>
              <w:jc w:val="center"/>
              <w:rPr>
                <w:rFonts w:eastAsia="Times New Roman" w:cstheme="minorHAnsi"/>
                <w:color w:val="030A13"/>
              </w:rPr>
            </w:pPr>
            <w:r w:rsidRPr="00430B7D">
              <w:rPr>
                <w:rFonts w:eastAsia="Times New Roman" w:cstheme="minorHAnsi"/>
                <w:color w:val="030A13"/>
              </w:rPr>
              <w:t>Attorney General of the United States</w:t>
            </w:r>
          </w:p>
        </w:tc>
        <w:tc>
          <w:tcPr>
            <w:tcW w:w="0" w:type="auto"/>
            <w:shd w:val="clear" w:color="auto" w:fill="auto"/>
            <w:tcMar>
              <w:top w:w="0" w:type="dxa"/>
              <w:left w:w="0" w:type="dxa"/>
              <w:bottom w:w="0" w:type="dxa"/>
              <w:right w:w="0" w:type="dxa"/>
            </w:tcMar>
            <w:vAlign w:val="center"/>
            <w:hideMark/>
          </w:tcPr>
          <w:p w:rsidR="00430B7D" w:rsidRPr="00430B7D" w:rsidRDefault="00430B7D" w:rsidP="00430B7D">
            <w:pPr>
              <w:spacing w:after="0" w:line="240" w:lineRule="auto"/>
              <w:jc w:val="center"/>
              <w:rPr>
                <w:rFonts w:eastAsia="Times New Roman" w:cstheme="minorHAnsi"/>
                <w:color w:val="030A13"/>
              </w:rPr>
            </w:pPr>
            <w:r w:rsidRPr="00430B7D">
              <w:rPr>
                <w:rFonts w:eastAsia="Times New Roman" w:cstheme="minorHAnsi"/>
                <w:color w:val="030A13"/>
              </w:rPr>
              <w:t xml:space="preserve">Secretary of Health and Human Services </w:t>
            </w:r>
          </w:p>
        </w:tc>
      </w:tr>
      <w:tr w:rsidR="00430B7D" w:rsidRPr="00430B7D" w:rsidTr="00430B7D">
        <w:trPr>
          <w:jc w:val="center"/>
        </w:trPr>
        <w:tc>
          <w:tcPr>
            <w:tcW w:w="0" w:type="auto"/>
            <w:shd w:val="clear" w:color="auto" w:fill="auto"/>
            <w:tcMar>
              <w:top w:w="0" w:type="dxa"/>
              <w:left w:w="0" w:type="dxa"/>
              <w:bottom w:w="0" w:type="dxa"/>
              <w:right w:w="0" w:type="dxa"/>
            </w:tcMar>
            <w:vAlign w:val="center"/>
            <w:hideMark/>
          </w:tcPr>
          <w:p w:rsidR="00430B7D" w:rsidRPr="00430B7D" w:rsidRDefault="00430B7D" w:rsidP="00430B7D">
            <w:pPr>
              <w:spacing w:after="0" w:line="240" w:lineRule="auto"/>
              <w:jc w:val="center"/>
              <w:rPr>
                <w:rFonts w:eastAsia="Times New Roman" w:cstheme="minorHAnsi"/>
                <w:color w:val="030A13"/>
              </w:rPr>
            </w:pPr>
            <w:r w:rsidRPr="00430B7D">
              <w:rPr>
                <w:rFonts w:eastAsia="Times New Roman" w:cstheme="minorHAnsi"/>
                <w:color w:val="030A13"/>
              </w:rPr>
              <w:t>/s/</w:t>
            </w:r>
          </w:p>
        </w:tc>
        <w:tc>
          <w:tcPr>
            <w:tcW w:w="0" w:type="auto"/>
            <w:shd w:val="clear" w:color="auto" w:fill="auto"/>
            <w:tcMar>
              <w:top w:w="0" w:type="dxa"/>
              <w:left w:w="0" w:type="dxa"/>
              <w:bottom w:w="0" w:type="dxa"/>
              <w:right w:w="0" w:type="dxa"/>
            </w:tcMar>
            <w:vAlign w:val="center"/>
            <w:hideMark/>
          </w:tcPr>
          <w:p w:rsidR="00430B7D" w:rsidRPr="00430B7D" w:rsidRDefault="00430B7D" w:rsidP="00430B7D">
            <w:pPr>
              <w:spacing w:after="0" w:line="240" w:lineRule="auto"/>
              <w:jc w:val="center"/>
              <w:rPr>
                <w:rFonts w:eastAsia="Times New Roman" w:cstheme="minorHAnsi"/>
                <w:color w:val="030A13"/>
              </w:rPr>
            </w:pPr>
            <w:r w:rsidRPr="00430B7D">
              <w:rPr>
                <w:rFonts w:eastAsia="Times New Roman" w:cstheme="minorHAnsi"/>
                <w:color w:val="030A13"/>
              </w:rPr>
              <w:t>/s/</w:t>
            </w:r>
          </w:p>
        </w:tc>
      </w:tr>
      <w:tr w:rsidR="00430B7D" w:rsidRPr="00430B7D" w:rsidTr="00430B7D">
        <w:trPr>
          <w:jc w:val="center"/>
        </w:trPr>
        <w:tc>
          <w:tcPr>
            <w:tcW w:w="0" w:type="auto"/>
            <w:shd w:val="clear" w:color="auto" w:fill="auto"/>
            <w:tcMar>
              <w:top w:w="0" w:type="dxa"/>
              <w:left w:w="0" w:type="dxa"/>
              <w:bottom w:w="0" w:type="dxa"/>
              <w:right w:w="0" w:type="dxa"/>
            </w:tcMar>
            <w:vAlign w:val="center"/>
            <w:hideMark/>
          </w:tcPr>
          <w:p w:rsidR="00430B7D" w:rsidRPr="00430B7D" w:rsidRDefault="00430B7D" w:rsidP="00430B7D">
            <w:pPr>
              <w:spacing w:after="0" w:line="240" w:lineRule="auto"/>
              <w:jc w:val="center"/>
              <w:rPr>
                <w:rFonts w:eastAsia="Times New Roman" w:cstheme="minorHAnsi"/>
                <w:color w:val="030A13"/>
              </w:rPr>
            </w:pPr>
            <w:proofErr w:type="spellStart"/>
            <w:r w:rsidRPr="00430B7D">
              <w:rPr>
                <w:rFonts w:eastAsia="Times New Roman" w:cstheme="minorHAnsi"/>
                <w:color w:val="030A13"/>
              </w:rPr>
              <w:t>Julián</w:t>
            </w:r>
            <w:proofErr w:type="spellEnd"/>
            <w:r w:rsidRPr="00430B7D">
              <w:rPr>
                <w:rFonts w:eastAsia="Times New Roman" w:cstheme="minorHAnsi"/>
                <w:color w:val="030A13"/>
              </w:rPr>
              <w:t xml:space="preserve"> Castro</w:t>
            </w:r>
          </w:p>
        </w:tc>
        <w:tc>
          <w:tcPr>
            <w:tcW w:w="0" w:type="auto"/>
            <w:shd w:val="clear" w:color="auto" w:fill="auto"/>
            <w:tcMar>
              <w:top w:w="0" w:type="dxa"/>
              <w:left w:w="0" w:type="dxa"/>
              <w:bottom w:w="0" w:type="dxa"/>
              <w:right w:w="0" w:type="dxa"/>
            </w:tcMar>
            <w:vAlign w:val="center"/>
            <w:hideMark/>
          </w:tcPr>
          <w:p w:rsidR="00430B7D" w:rsidRPr="00430B7D" w:rsidRDefault="00430B7D" w:rsidP="00430B7D">
            <w:pPr>
              <w:spacing w:after="0" w:line="240" w:lineRule="auto"/>
              <w:jc w:val="center"/>
              <w:rPr>
                <w:rFonts w:eastAsia="Times New Roman" w:cstheme="minorHAnsi"/>
                <w:color w:val="030A13"/>
              </w:rPr>
            </w:pPr>
            <w:r w:rsidRPr="00430B7D">
              <w:rPr>
                <w:rFonts w:eastAsia="Times New Roman" w:cstheme="minorHAnsi"/>
                <w:color w:val="030A13"/>
              </w:rPr>
              <w:t>Arne Duncan</w:t>
            </w:r>
          </w:p>
        </w:tc>
      </w:tr>
      <w:tr w:rsidR="00430B7D" w:rsidRPr="00430B7D" w:rsidTr="00430B7D">
        <w:trPr>
          <w:jc w:val="center"/>
        </w:trPr>
        <w:tc>
          <w:tcPr>
            <w:tcW w:w="0" w:type="auto"/>
            <w:shd w:val="clear" w:color="auto" w:fill="auto"/>
            <w:tcMar>
              <w:top w:w="0" w:type="dxa"/>
              <w:left w:w="0" w:type="dxa"/>
              <w:bottom w:w="0" w:type="dxa"/>
              <w:right w:w="0" w:type="dxa"/>
            </w:tcMar>
            <w:vAlign w:val="center"/>
            <w:hideMark/>
          </w:tcPr>
          <w:p w:rsidR="00430B7D" w:rsidRPr="00430B7D" w:rsidRDefault="00430B7D" w:rsidP="00430B7D">
            <w:pPr>
              <w:spacing w:after="0" w:line="240" w:lineRule="auto"/>
              <w:jc w:val="center"/>
              <w:rPr>
                <w:rFonts w:eastAsia="Times New Roman" w:cstheme="minorHAnsi"/>
                <w:color w:val="030A13"/>
              </w:rPr>
            </w:pPr>
            <w:r w:rsidRPr="00430B7D">
              <w:rPr>
                <w:rFonts w:eastAsia="Times New Roman" w:cstheme="minorHAnsi"/>
                <w:color w:val="030A13"/>
              </w:rPr>
              <w:t>Secretary of Housing and Urban Development</w:t>
            </w:r>
          </w:p>
        </w:tc>
        <w:tc>
          <w:tcPr>
            <w:tcW w:w="0" w:type="auto"/>
            <w:shd w:val="clear" w:color="auto" w:fill="auto"/>
            <w:tcMar>
              <w:top w:w="0" w:type="dxa"/>
              <w:left w:w="0" w:type="dxa"/>
              <w:bottom w:w="0" w:type="dxa"/>
              <w:right w:w="0" w:type="dxa"/>
            </w:tcMar>
            <w:vAlign w:val="center"/>
            <w:hideMark/>
          </w:tcPr>
          <w:p w:rsidR="00430B7D" w:rsidRPr="00430B7D" w:rsidRDefault="00430B7D" w:rsidP="00430B7D">
            <w:pPr>
              <w:spacing w:after="0" w:line="240" w:lineRule="auto"/>
              <w:jc w:val="center"/>
              <w:rPr>
                <w:rFonts w:eastAsia="Times New Roman" w:cstheme="minorHAnsi"/>
                <w:color w:val="030A13"/>
              </w:rPr>
            </w:pPr>
            <w:r w:rsidRPr="00430B7D">
              <w:rPr>
                <w:rFonts w:eastAsia="Times New Roman" w:cstheme="minorHAnsi"/>
                <w:color w:val="030A13"/>
              </w:rPr>
              <w:t xml:space="preserve">Secretary of Education </w:t>
            </w:r>
          </w:p>
        </w:tc>
      </w:tr>
    </w:tbl>
    <w:p w:rsidR="00430B7D" w:rsidRPr="00430B7D" w:rsidRDefault="00430B7D" w:rsidP="00430B7D">
      <w:pPr>
        <w:spacing w:after="150" w:line="240" w:lineRule="auto"/>
        <w:rPr>
          <w:rFonts w:eastAsia="Times New Roman" w:cstheme="minorHAnsi"/>
          <w:color w:val="030A13"/>
        </w:rPr>
      </w:pPr>
      <w:r w:rsidRPr="00430B7D">
        <w:rPr>
          <w:rFonts w:eastAsia="Times New Roman" w:cstheme="minorHAnsi"/>
          <w:b/>
          <w:bCs/>
          <w:color w:val="030A13"/>
        </w:rPr>
        <w:t>_______________________</w:t>
      </w:r>
    </w:p>
    <w:p w:rsidR="00430B7D" w:rsidRPr="00430B7D" w:rsidRDefault="00430B7D" w:rsidP="00430B7D">
      <w:pPr>
        <w:spacing w:after="150" w:line="240" w:lineRule="auto"/>
        <w:rPr>
          <w:rFonts w:eastAsia="Times New Roman" w:cstheme="minorHAnsi"/>
          <w:color w:val="030A13"/>
          <w:sz w:val="16"/>
          <w:szCs w:val="16"/>
        </w:rPr>
      </w:pPr>
      <w:bookmarkStart w:id="18" w:name="footnote-1"/>
      <w:bookmarkEnd w:id="18"/>
      <w:proofErr w:type="gramStart"/>
      <w:r w:rsidRPr="00430B7D">
        <w:rPr>
          <w:rFonts w:eastAsia="Times New Roman" w:cstheme="minorHAnsi"/>
          <w:b/>
          <w:bCs/>
          <w:color w:val="030A13"/>
          <w:sz w:val="16"/>
          <w:szCs w:val="16"/>
          <w:vertAlign w:val="superscript"/>
        </w:rPr>
        <w:t>[ 1</w:t>
      </w:r>
      <w:proofErr w:type="gramEnd"/>
      <w:r w:rsidRPr="00430B7D">
        <w:rPr>
          <w:rFonts w:eastAsia="Times New Roman" w:cstheme="minorHAnsi"/>
          <w:b/>
          <w:bCs/>
          <w:color w:val="030A13"/>
          <w:sz w:val="16"/>
          <w:szCs w:val="16"/>
          <w:vertAlign w:val="superscript"/>
        </w:rPr>
        <w:t>. ]</w:t>
      </w:r>
      <w:r w:rsidRPr="00430B7D">
        <w:rPr>
          <w:rFonts w:eastAsia="Times New Roman" w:cstheme="minorHAnsi"/>
          <w:color w:val="030A13"/>
          <w:sz w:val="16"/>
          <w:szCs w:val="16"/>
        </w:rPr>
        <w:t xml:space="preserve"> </w:t>
      </w:r>
      <w:proofErr w:type="spellStart"/>
      <w:r w:rsidRPr="00430B7D">
        <w:rPr>
          <w:rFonts w:eastAsia="Times New Roman" w:cstheme="minorHAnsi"/>
          <w:color w:val="030A13"/>
          <w:sz w:val="16"/>
          <w:szCs w:val="16"/>
        </w:rPr>
        <w:t>Therriault</w:t>
      </w:r>
      <w:proofErr w:type="spellEnd"/>
      <w:r w:rsidRPr="00430B7D">
        <w:rPr>
          <w:rFonts w:eastAsia="Times New Roman" w:cstheme="minorHAnsi"/>
          <w:color w:val="030A13"/>
          <w:sz w:val="16"/>
          <w:szCs w:val="16"/>
        </w:rPr>
        <w:t xml:space="preserve">, S., </w:t>
      </w:r>
      <w:proofErr w:type="spellStart"/>
      <w:r w:rsidRPr="00430B7D">
        <w:rPr>
          <w:rFonts w:eastAsia="Times New Roman" w:cstheme="minorHAnsi"/>
          <w:color w:val="030A13"/>
          <w:sz w:val="16"/>
          <w:szCs w:val="16"/>
        </w:rPr>
        <w:t>Heppen</w:t>
      </w:r>
      <w:proofErr w:type="spellEnd"/>
      <w:r w:rsidRPr="00430B7D">
        <w:rPr>
          <w:rFonts w:eastAsia="Times New Roman" w:cstheme="minorHAnsi"/>
          <w:color w:val="030A13"/>
          <w:sz w:val="16"/>
          <w:szCs w:val="16"/>
        </w:rPr>
        <w:t xml:space="preserve">, J., </w:t>
      </w:r>
      <w:proofErr w:type="spellStart"/>
      <w:r w:rsidRPr="00430B7D">
        <w:rPr>
          <w:rFonts w:eastAsia="Times New Roman" w:cstheme="minorHAnsi"/>
          <w:color w:val="030A13"/>
          <w:sz w:val="16"/>
          <w:szCs w:val="16"/>
        </w:rPr>
        <w:t>O’Cummings</w:t>
      </w:r>
      <w:proofErr w:type="spellEnd"/>
      <w:r w:rsidRPr="00430B7D">
        <w:rPr>
          <w:rFonts w:eastAsia="Times New Roman" w:cstheme="minorHAnsi"/>
          <w:color w:val="030A13"/>
          <w:sz w:val="16"/>
          <w:szCs w:val="16"/>
        </w:rPr>
        <w:t>, M., Fryer, L., &amp; Johnson, A. (2010).  </w:t>
      </w:r>
      <w:r w:rsidRPr="00430B7D">
        <w:rPr>
          <w:rFonts w:eastAsia="Times New Roman" w:cstheme="minorHAnsi"/>
          <w:i/>
          <w:iCs/>
          <w:color w:val="030A13"/>
          <w:sz w:val="16"/>
          <w:szCs w:val="16"/>
        </w:rPr>
        <w:t xml:space="preserve">Early Warning System Implementation Guide:  For Use with the National High School Center’s </w:t>
      </w:r>
      <w:proofErr w:type="gramStart"/>
      <w:r w:rsidRPr="00430B7D">
        <w:rPr>
          <w:rFonts w:eastAsia="Times New Roman" w:cstheme="minorHAnsi"/>
          <w:i/>
          <w:iCs/>
          <w:color w:val="030A13"/>
          <w:sz w:val="16"/>
          <w:szCs w:val="16"/>
        </w:rPr>
        <w:t>Early</w:t>
      </w:r>
      <w:proofErr w:type="gramEnd"/>
      <w:r w:rsidRPr="00430B7D">
        <w:rPr>
          <w:rFonts w:eastAsia="Times New Roman" w:cstheme="minorHAnsi"/>
          <w:i/>
          <w:iCs/>
          <w:color w:val="030A13"/>
          <w:sz w:val="16"/>
          <w:szCs w:val="16"/>
        </w:rPr>
        <w:t xml:space="preserve"> Warning System Tool v2.0</w:t>
      </w:r>
      <w:r w:rsidRPr="00430B7D">
        <w:rPr>
          <w:rFonts w:eastAsia="Times New Roman" w:cstheme="minorHAnsi"/>
          <w:color w:val="030A13"/>
          <w:sz w:val="16"/>
          <w:szCs w:val="16"/>
        </w:rPr>
        <w:t>. Washington, DC: American Institutes for Research, National High School Center.  </w:t>
      </w:r>
      <w:proofErr w:type="gramStart"/>
      <w:r w:rsidRPr="00430B7D">
        <w:rPr>
          <w:rFonts w:eastAsia="Times New Roman" w:cstheme="minorHAnsi"/>
          <w:color w:val="030A13"/>
          <w:sz w:val="16"/>
          <w:szCs w:val="16"/>
        </w:rPr>
        <w:t xml:space="preserve">Retrieved from </w:t>
      </w:r>
      <w:hyperlink r:id="rId23" w:history="1">
        <w:r w:rsidRPr="00430B7D">
          <w:rPr>
            <w:rFonts w:eastAsia="Times New Roman" w:cstheme="minorHAnsi"/>
            <w:color w:val="115CA7"/>
            <w:sz w:val="16"/>
            <w:szCs w:val="16"/>
          </w:rPr>
          <w:t>http://eric.ed.gov/?id=ED521686</w:t>
        </w:r>
      </w:hyperlink>
      <w:r w:rsidRPr="00430B7D">
        <w:rPr>
          <w:rFonts w:eastAsia="Times New Roman" w:cstheme="minorHAnsi"/>
          <w:color w:val="030A13"/>
          <w:sz w:val="16"/>
          <w:szCs w:val="16"/>
        </w:rPr>
        <w:t>.</w:t>
      </w:r>
      <w:proofErr w:type="gramEnd"/>
    </w:p>
    <w:p w:rsidR="00430B7D" w:rsidRPr="00430B7D" w:rsidRDefault="00430B7D" w:rsidP="00430B7D">
      <w:pPr>
        <w:spacing w:after="150" w:line="240" w:lineRule="auto"/>
        <w:rPr>
          <w:rFonts w:eastAsia="Times New Roman" w:cstheme="minorHAnsi"/>
          <w:color w:val="030A13"/>
          <w:sz w:val="16"/>
          <w:szCs w:val="16"/>
        </w:rPr>
      </w:pPr>
      <w:bookmarkStart w:id="19" w:name="footnote-2"/>
      <w:bookmarkEnd w:id="19"/>
      <w:proofErr w:type="gramStart"/>
      <w:r w:rsidRPr="00430B7D">
        <w:rPr>
          <w:rFonts w:eastAsia="Times New Roman" w:cstheme="minorHAnsi"/>
          <w:b/>
          <w:bCs/>
          <w:color w:val="030A13"/>
          <w:sz w:val="16"/>
          <w:szCs w:val="16"/>
          <w:vertAlign w:val="superscript"/>
        </w:rPr>
        <w:t>[ 2</w:t>
      </w:r>
      <w:proofErr w:type="gramEnd"/>
      <w:r w:rsidRPr="00430B7D">
        <w:rPr>
          <w:rFonts w:eastAsia="Times New Roman" w:cstheme="minorHAnsi"/>
          <w:b/>
          <w:bCs/>
          <w:color w:val="030A13"/>
          <w:sz w:val="16"/>
          <w:szCs w:val="16"/>
          <w:vertAlign w:val="superscript"/>
        </w:rPr>
        <w:t>. ]</w:t>
      </w:r>
      <w:r w:rsidRPr="00430B7D">
        <w:rPr>
          <w:rFonts w:eastAsia="Times New Roman" w:cstheme="minorHAnsi"/>
          <w:color w:val="030A13"/>
          <w:sz w:val="16"/>
          <w:szCs w:val="16"/>
        </w:rPr>
        <w:t xml:space="preserve"> </w:t>
      </w:r>
      <w:proofErr w:type="spellStart"/>
      <w:r w:rsidRPr="00430B7D">
        <w:rPr>
          <w:rFonts w:eastAsia="Times New Roman" w:cstheme="minorHAnsi"/>
          <w:color w:val="030A13"/>
          <w:sz w:val="16"/>
          <w:szCs w:val="16"/>
        </w:rPr>
        <w:t>Balfanz</w:t>
      </w:r>
      <w:proofErr w:type="spellEnd"/>
      <w:r w:rsidRPr="00430B7D">
        <w:rPr>
          <w:rFonts w:eastAsia="Times New Roman" w:cstheme="minorHAnsi"/>
          <w:color w:val="030A13"/>
          <w:sz w:val="16"/>
          <w:szCs w:val="16"/>
        </w:rPr>
        <w:t>, R., &amp; Byrnes, V. (2012).  </w:t>
      </w:r>
      <w:r w:rsidRPr="00430B7D">
        <w:rPr>
          <w:rFonts w:eastAsia="Times New Roman" w:cstheme="minorHAnsi"/>
          <w:i/>
          <w:iCs/>
          <w:color w:val="030A13"/>
          <w:sz w:val="16"/>
          <w:szCs w:val="16"/>
        </w:rPr>
        <w:t>The Importance of Being in School: A Report on Absenteeism in the Nation’s Public Schools.</w:t>
      </w:r>
      <w:r w:rsidRPr="00430B7D">
        <w:rPr>
          <w:rFonts w:eastAsia="Times New Roman" w:cstheme="minorHAnsi"/>
          <w:color w:val="030A13"/>
          <w:sz w:val="16"/>
          <w:szCs w:val="16"/>
        </w:rPr>
        <w:t xml:space="preserve">  Baltimore:  Johns Hopkins University Center for Social Organization of Schools. </w:t>
      </w:r>
      <w:proofErr w:type="gramStart"/>
      <w:r w:rsidRPr="00430B7D">
        <w:rPr>
          <w:rFonts w:eastAsia="Times New Roman" w:cstheme="minorHAnsi"/>
          <w:color w:val="030A13"/>
          <w:sz w:val="16"/>
          <w:szCs w:val="16"/>
        </w:rPr>
        <w:t xml:space="preserve">Available at </w:t>
      </w:r>
      <w:hyperlink r:id="rId24" w:history="1">
        <w:r w:rsidRPr="00430B7D">
          <w:rPr>
            <w:rFonts w:eastAsia="Times New Roman" w:cstheme="minorHAnsi"/>
            <w:color w:val="115CA7"/>
            <w:sz w:val="16"/>
            <w:szCs w:val="16"/>
          </w:rPr>
          <w:t>http://new.every1graduates.org/wp-content/uploads/2012/05/FINALChronicAbsenteeismReport_May16.pdf</w:t>
        </w:r>
      </w:hyperlink>
      <w:r w:rsidRPr="00430B7D">
        <w:rPr>
          <w:rFonts w:eastAsia="Times New Roman" w:cstheme="minorHAnsi"/>
          <w:color w:val="030A13"/>
          <w:sz w:val="16"/>
          <w:szCs w:val="16"/>
        </w:rPr>
        <w:t>.</w:t>
      </w:r>
      <w:proofErr w:type="gramEnd"/>
      <w:r w:rsidRPr="00430B7D">
        <w:rPr>
          <w:rFonts w:eastAsia="Times New Roman" w:cstheme="minorHAnsi"/>
          <w:color w:val="030A13"/>
          <w:sz w:val="16"/>
          <w:szCs w:val="16"/>
        </w:rPr>
        <w:t xml:space="preserve"> </w:t>
      </w:r>
    </w:p>
    <w:p w:rsidR="00430B7D" w:rsidRPr="00430B7D" w:rsidRDefault="00430B7D" w:rsidP="00430B7D">
      <w:pPr>
        <w:spacing w:after="150" w:line="240" w:lineRule="auto"/>
        <w:rPr>
          <w:rFonts w:eastAsia="Times New Roman" w:cstheme="minorHAnsi"/>
          <w:color w:val="030A13"/>
          <w:sz w:val="16"/>
          <w:szCs w:val="16"/>
        </w:rPr>
      </w:pPr>
      <w:bookmarkStart w:id="20" w:name="footnote-3"/>
      <w:bookmarkEnd w:id="20"/>
      <w:proofErr w:type="gramStart"/>
      <w:r w:rsidRPr="00430B7D">
        <w:rPr>
          <w:rFonts w:eastAsia="Times New Roman" w:cstheme="minorHAnsi"/>
          <w:b/>
          <w:bCs/>
          <w:color w:val="030A13"/>
          <w:sz w:val="16"/>
          <w:szCs w:val="16"/>
          <w:vertAlign w:val="superscript"/>
        </w:rPr>
        <w:t>[ 3</w:t>
      </w:r>
      <w:proofErr w:type="gramEnd"/>
      <w:r w:rsidRPr="00430B7D">
        <w:rPr>
          <w:rFonts w:eastAsia="Times New Roman" w:cstheme="minorHAnsi"/>
          <w:b/>
          <w:bCs/>
          <w:color w:val="030A13"/>
          <w:sz w:val="16"/>
          <w:szCs w:val="16"/>
          <w:vertAlign w:val="superscript"/>
        </w:rPr>
        <w:t>. ]</w:t>
      </w:r>
      <w:r w:rsidRPr="00430B7D">
        <w:rPr>
          <w:rFonts w:eastAsia="Times New Roman" w:cstheme="minorHAnsi"/>
          <w:color w:val="030A13"/>
          <w:sz w:val="16"/>
          <w:szCs w:val="16"/>
        </w:rPr>
        <w:t xml:space="preserve"> Ibid.</w:t>
      </w:r>
    </w:p>
    <w:p w:rsidR="00430B7D" w:rsidRPr="00430B7D" w:rsidRDefault="00430B7D" w:rsidP="00430B7D">
      <w:pPr>
        <w:spacing w:after="150" w:line="240" w:lineRule="auto"/>
        <w:rPr>
          <w:rFonts w:eastAsia="Times New Roman" w:cstheme="minorHAnsi"/>
          <w:color w:val="030A13"/>
          <w:sz w:val="16"/>
          <w:szCs w:val="16"/>
        </w:rPr>
      </w:pPr>
      <w:bookmarkStart w:id="21" w:name="footnote-4"/>
      <w:bookmarkEnd w:id="21"/>
      <w:proofErr w:type="gramStart"/>
      <w:r w:rsidRPr="00430B7D">
        <w:rPr>
          <w:rFonts w:eastAsia="Times New Roman" w:cstheme="minorHAnsi"/>
          <w:b/>
          <w:bCs/>
          <w:color w:val="030A13"/>
          <w:sz w:val="16"/>
          <w:szCs w:val="16"/>
          <w:vertAlign w:val="superscript"/>
        </w:rPr>
        <w:t>[ 4</w:t>
      </w:r>
      <w:proofErr w:type="gramEnd"/>
      <w:r w:rsidRPr="00430B7D">
        <w:rPr>
          <w:rFonts w:eastAsia="Times New Roman" w:cstheme="minorHAnsi"/>
          <w:b/>
          <w:bCs/>
          <w:color w:val="030A13"/>
          <w:sz w:val="16"/>
          <w:szCs w:val="16"/>
          <w:vertAlign w:val="superscript"/>
        </w:rPr>
        <w:t>. ]</w:t>
      </w:r>
      <w:r w:rsidRPr="00430B7D">
        <w:rPr>
          <w:rFonts w:eastAsia="Times New Roman" w:cstheme="minorHAnsi"/>
          <w:color w:val="030A13"/>
          <w:sz w:val="16"/>
          <w:szCs w:val="16"/>
        </w:rPr>
        <w:t xml:space="preserve"> For information on data-sharing consistent with FERPA, please refer to guidance provided by ED’s Family Policy Compliance Office at </w:t>
      </w:r>
      <w:hyperlink r:id="rId25" w:history="1">
        <w:r w:rsidRPr="00430B7D">
          <w:rPr>
            <w:rFonts w:eastAsia="Times New Roman" w:cstheme="minorHAnsi"/>
            <w:color w:val="115CA7"/>
            <w:sz w:val="16"/>
            <w:szCs w:val="16"/>
          </w:rPr>
          <w:t>http://www2.ed.gov/policy/gen/guid/fpco/doc/ferpa-and-community-based-orgs.pdf</w:t>
        </w:r>
      </w:hyperlink>
      <w:r w:rsidRPr="00430B7D">
        <w:rPr>
          <w:rFonts w:eastAsia="Times New Roman" w:cstheme="minorHAnsi"/>
          <w:color w:val="030A13"/>
          <w:sz w:val="16"/>
          <w:szCs w:val="16"/>
        </w:rPr>
        <w:t>.</w:t>
      </w:r>
      <w:r w:rsidRPr="00430B7D">
        <w:rPr>
          <w:rFonts w:eastAsia="Times New Roman" w:cstheme="minorHAnsi"/>
          <w:b/>
          <w:bCs/>
          <w:color w:val="030A13"/>
          <w:sz w:val="16"/>
          <w:szCs w:val="16"/>
          <w:vertAlign w:val="superscript"/>
        </w:rPr>
        <w:t xml:space="preserve">[ </w:t>
      </w:r>
      <w:hyperlink r:id="rId26" w:anchor="return-4" w:history="1">
        <w:r w:rsidRPr="00430B7D">
          <w:rPr>
            <w:rFonts w:eastAsia="Times New Roman" w:cstheme="minorHAnsi"/>
            <w:b/>
            <w:bCs/>
            <w:color w:val="115CA7"/>
            <w:sz w:val="16"/>
            <w:szCs w:val="16"/>
            <w:vertAlign w:val="superscript"/>
          </w:rPr>
          <w:t>Return to text</w:t>
        </w:r>
      </w:hyperlink>
      <w:r w:rsidRPr="00430B7D">
        <w:rPr>
          <w:rFonts w:eastAsia="Times New Roman" w:cstheme="minorHAnsi"/>
          <w:b/>
          <w:bCs/>
          <w:color w:val="030A13"/>
          <w:sz w:val="16"/>
          <w:szCs w:val="16"/>
          <w:vertAlign w:val="superscript"/>
        </w:rPr>
        <w:t xml:space="preserve"> ]</w:t>
      </w:r>
    </w:p>
    <w:p w:rsidR="00430B7D" w:rsidRPr="00430B7D" w:rsidRDefault="00430B7D" w:rsidP="00430B7D">
      <w:pPr>
        <w:spacing w:after="150" w:line="240" w:lineRule="auto"/>
        <w:rPr>
          <w:rFonts w:eastAsia="Times New Roman" w:cstheme="minorHAnsi"/>
          <w:color w:val="030A13"/>
          <w:sz w:val="16"/>
          <w:szCs w:val="16"/>
        </w:rPr>
      </w:pPr>
      <w:bookmarkStart w:id="22" w:name="footnote-5"/>
      <w:bookmarkEnd w:id="22"/>
      <w:proofErr w:type="gramStart"/>
      <w:r w:rsidRPr="00430B7D">
        <w:rPr>
          <w:rFonts w:eastAsia="Times New Roman" w:cstheme="minorHAnsi"/>
          <w:b/>
          <w:bCs/>
          <w:color w:val="030A13"/>
          <w:sz w:val="16"/>
          <w:szCs w:val="16"/>
          <w:vertAlign w:val="superscript"/>
        </w:rPr>
        <w:t>[ 5</w:t>
      </w:r>
      <w:proofErr w:type="gramEnd"/>
      <w:r w:rsidRPr="00430B7D">
        <w:rPr>
          <w:rFonts w:eastAsia="Times New Roman" w:cstheme="minorHAnsi"/>
          <w:b/>
          <w:bCs/>
          <w:color w:val="030A13"/>
          <w:sz w:val="16"/>
          <w:szCs w:val="16"/>
          <w:vertAlign w:val="superscript"/>
        </w:rPr>
        <w:t>. ]</w:t>
      </w:r>
      <w:r w:rsidRPr="00430B7D">
        <w:rPr>
          <w:rFonts w:eastAsia="Times New Roman" w:cstheme="minorHAnsi"/>
          <w:color w:val="030A13"/>
          <w:sz w:val="16"/>
          <w:szCs w:val="16"/>
        </w:rPr>
        <w:t xml:space="preserve">For more information on implementing positive behavior interventions and supports (PBIS), please visit ED's PBIS Technical Assistance Center at </w:t>
      </w:r>
      <w:hyperlink r:id="rId27" w:history="1">
        <w:r w:rsidRPr="00430B7D">
          <w:rPr>
            <w:rFonts w:eastAsia="Times New Roman" w:cstheme="minorHAnsi"/>
            <w:color w:val="115CA7"/>
            <w:sz w:val="16"/>
            <w:szCs w:val="16"/>
          </w:rPr>
          <w:t>www.pbis.org</w:t>
        </w:r>
      </w:hyperlink>
      <w:r w:rsidRPr="00430B7D">
        <w:rPr>
          <w:rFonts w:eastAsia="Times New Roman" w:cstheme="minorHAnsi"/>
          <w:color w:val="030A13"/>
          <w:sz w:val="16"/>
          <w:szCs w:val="16"/>
        </w:rPr>
        <w:t>.</w:t>
      </w:r>
    </w:p>
    <w:p w:rsidR="00430B7D" w:rsidRPr="00430B7D" w:rsidRDefault="00430B7D" w:rsidP="00430B7D">
      <w:pPr>
        <w:spacing w:after="150" w:line="240" w:lineRule="auto"/>
        <w:rPr>
          <w:rFonts w:eastAsia="Times New Roman" w:cstheme="minorHAnsi"/>
          <w:color w:val="030A13"/>
          <w:sz w:val="16"/>
          <w:szCs w:val="16"/>
        </w:rPr>
      </w:pPr>
      <w:bookmarkStart w:id="23" w:name="footnote-6"/>
      <w:bookmarkEnd w:id="23"/>
      <w:proofErr w:type="gramStart"/>
      <w:r w:rsidRPr="00430B7D">
        <w:rPr>
          <w:rFonts w:eastAsia="Times New Roman" w:cstheme="minorHAnsi"/>
          <w:b/>
          <w:bCs/>
          <w:color w:val="030A13"/>
          <w:sz w:val="16"/>
          <w:szCs w:val="16"/>
          <w:vertAlign w:val="superscript"/>
        </w:rPr>
        <w:t>[ 6</w:t>
      </w:r>
      <w:proofErr w:type="gramEnd"/>
      <w:r w:rsidRPr="00430B7D">
        <w:rPr>
          <w:rFonts w:eastAsia="Times New Roman" w:cstheme="minorHAnsi"/>
          <w:b/>
          <w:bCs/>
          <w:color w:val="030A13"/>
          <w:sz w:val="16"/>
          <w:szCs w:val="16"/>
          <w:vertAlign w:val="superscript"/>
        </w:rPr>
        <w:t>. ]</w:t>
      </w:r>
      <w:r w:rsidRPr="00430B7D">
        <w:rPr>
          <w:rFonts w:eastAsia="Times New Roman" w:cstheme="minorHAnsi"/>
          <w:color w:val="030A13"/>
          <w:sz w:val="16"/>
          <w:szCs w:val="16"/>
        </w:rPr>
        <w:t xml:space="preserve"> Morgan, E., Salomon, N., </w:t>
      </w:r>
      <w:proofErr w:type="spellStart"/>
      <w:r w:rsidRPr="00430B7D">
        <w:rPr>
          <w:rFonts w:eastAsia="Times New Roman" w:cstheme="minorHAnsi"/>
          <w:color w:val="030A13"/>
          <w:sz w:val="16"/>
          <w:szCs w:val="16"/>
        </w:rPr>
        <w:t>Plotkin</w:t>
      </w:r>
      <w:proofErr w:type="spellEnd"/>
      <w:r w:rsidRPr="00430B7D">
        <w:rPr>
          <w:rFonts w:eastAsia="Times New Roman" w:cstheme="minorHAnsi"/>
          <w:color w:val="030A13"/>
          <w:sz w:val="16"/>
          <w:szCs w:val="16"/>
        </w:rPr>
        <w:t>, M., Cohen, R. (2014).  </w:t>
      </w:r>
      <w:r w:rsidRPr="00430B7D">
        <w:rPr>
          <w:rFonts w:eastAsia="Times New Roman" w:cstheme="minorHAnsi"/>
          <w:i/>
          <w:iCs/>
          <w:color w:val="030A13"/>
          <w:sz w:val="16"/>
          <w:szCs w:val="16"/>
        </w:rPr>
        <w:t>The School Discipline Consensus Report:  Strategies from the Field to Keep Students Engaged in School and Out of the Juvenile Justice System.</w:t>
      </w:r>
      <w:r w:rsidRPr="00430B7D">
        <w:rPr>
          <w:rFonts w:eastAsia="Times New Roman" w:cstheme="minorHAnsi"/>
          <w:color w:val="030A13"/>
          <w:sz w:val="16"/>
          <w:szCs w:val="16"/>
        </w:rPr>
        <w:t xml:space="preserve">  New York:  Council of State Governments Justice Center.  </w:t>
      </w:r>
      <w:proofErr w:type="gramStart"/>
      <w:r w:rsidRPr="00430B7D">
        <w:rPr>
          <w:rFonts w:eastAsia="Times New Roman" w:cstheme="minorHAnsi"/>
          <w:color w:val="030A13"/>
          <w:sz w:val="16"/>
          <w:szCs w:val="16"/>
        </w:rPr>
        <w:t xml:space="preserve">Available at </w:t>
      </w:r>
      <w:hyperlink r:id="rId28" w:history="1">
        <w:r w:rsidRPr="00430B7D">
          <w:rPr>
            <w:rFonts w:eastAsia="Times New Roman" w:cstheme="minorHAnsi"/>
            <w:color w:val="115CA7"/>
            <w:sz w:val="16"/>
            <w:szCs w:val="16"/>
          </w:rPr>
          <w:t>http://csgjusticecenter.org/youth/school-discipline-consensus-report/</w:t>
        </w:r>
      </w:hyperlink>
      <w:r w:rsidRPr="00430B7D">
        <w:rPr>
          <w:rFonts w:eastAsia="Times New Roman" w:cstheme="minorHAnsi"/>
          <w:color w:val="030A13"/>
          <w:sz w:val="16"/>
          <w:szCs w:val="16"/>
        </w:rPr>
        <w:t>.</w:t>
      </w:r>
      <w:proofErr w:type="gramEnd"/>
    </w:p>
    <w:p w:rsidR="00430B7D" w:rsidRPr="00430B7D" w:rsidRDefault="00430B7D" w:rsidP="00430B7D">
      <w:pPr>
        <w:spacing w:after="150" w:line="240" w:lineRule="auto"/>
        <w:rPr>
          <w:rFonts w:eastAsia="Times New Roman" w:cstheme="minorHAnsi"/>
          <w:color w:val="030A13"/>
          <w:sz w:val="16"/>
          <w:szCs w:val="16"/>
        </w:rPr>
      </w:pPr>
      <w:bookmarkStart w:id="24" w:name="footnote-7"/>
      <w:bookmarkEnd w:id="24"/>
      <w:proofErr w:type="gramStart"/>
      <w:r w:rsidRPr="00430B7D">
        <w:rPr>
          <w:rFonts w:eastAsia="Times New Roman" w:cstheme="minorHAnsi"/>
          <w:b/>
          <w:bCs/>
          <w:color w:val="030A13"/>
          <w:sz w:val="16"/>
          <w:szCs w:val="16"/>
          <w:vertAlign w:val="superscript"/>
        </w:rPr>
        <w:t>[ 7</w:t>
      </w:r>
      <w:proofErr w:type="gramEnd"/>
      <w:r w:rsidRPr="00430B7D">
        <w:rPr>
          <w:rFonts w:eastAsia="Times New Roman" w:cstheme="minorHAnsi"/>
          <w:b/>
          <w:bCs/>
          <w:color w:val="030A13"/>
          <w:sz w:val="16"/>
          <w:szCs w:val="16"/>
          <w:vertAlign w:val="superscript"/>
        </w:rPr>
        <w:t>. ]</w:t>
      </w:r>
      <w:r w:rsidRPr="00430B7D">
        <w:rPr>
          <w:rFonts w:eastAsia="Times New Roman" w:cstheme="minorHAnsi"/>
          <w:color w:val="030A13"/>
          <w:sz w:val="16"/>
          <w:szCs w:val="16"/>
        </w:rPr>
        <w:t xml:space="preserve"> For more information on research findings of </w:t>
      </w:r>
      <w:r w:rsidRPr="00430B7D">
        <w:rPr>
          <w:rFonts w:eastAsia="Times New Roman" w:cstheme="minorHAnsi"/>
          <w:i/>
          <w:iCs/>
          <w:color w:val="030A13"/>
          <w:sz w:val="16"/>
          <w:szCs w:val="16"/>
        </w:rPr>
        <w:t>Check &amp; Connect</w:t>
      </w:r>
      <w:r w:rsidRPr="00430B7D">
        <w:rPr>
          <w:rFonts w:eastAsia="Times New Roman" w:cstheme="minorHAnsi"/>
          <w:color w:val="030A13"/>
          <w:sz w:val="16"/>
          <w:szCs w:val="16"/>
        </w:rPr>
        <w:t xml:space="preserve"> implementation, please see </w:t>
      </w:r>
      <w:hyperlink r:id="rId29" w:history="1">
        <w:r w:rsidRPr="00430B7D">
          <w:rPr>
            <w:rFonts w:eastAsia="Times New Roman" w:cstheme="minorHAnsi"/>
            <w:color w:val="115CA7"/>
            <w:sz w:val="16"/>
            <w:szCs w:val="16"/>
          </w:rPr>
          <w:t>http://ies.ed.gov/ncee/wwc/interventionreport.aspx?sid=78.</w:t>
        </w:r>
      </w:hyperlink>
    </w:p>
    <w:p w:rsidR="00430B7D" w:rsidRPr="00430B7D" w:rsidRDefault="00430B7D" w:rsidP="00430B7D">
      <w:pPr>
        <w:spacing w:after="150" w:line="240" w:lineRule="auto"/>
        <w:rPr>
          <w:rFonts w:eastAsia="Times New Roman" w:cstheme="minorHAnsi"/>
          <w:color w:val="030A13"/>
          <w:sz w:val="16"/>
          <w:szCs w:val="16"/>
        </w:rPr>
      </w:pPr>
      <w:bookmarkStart w:id="25" w:name="footnote-8"/>
      <w:bookmarkEnd w:id="25"/>
      <w:proofErr w:type="gramStart"/>
      <w:r w:rsidRPr="00430B7D">
        <w:rPr>
          <w:rFonts w:eastAsia="Times New Roman" w:cstheme="minorHAnsi"/>
          <w:b/>
          <w:bCs/>
          <w:color w:val="030A13"/>
          <w:sz w:val="16"/>
          <w:szCs w:val="16"/>
          <w:vertAlign w:val="superscript"/>
        </w:rPr>
        <w:t>[ 8</w:t>
      </w:r>
      <w:proofErr w:type="gramEnd"/>
      <w:r w:rsidRPr="00430B7D">
        <w:rPr>
          <w:rFonts w:eastAsia="Times New Roman" w:cstheme="minorHAnsi"/>
          <w:b/>
          <w:bCs/>
          <w:color w:val="030A13"/>
          <w:sz w:val="16"/>
          <w:szCs w:val="16"/>
          <w:vertAlign w:val="superscript"/>
        </w:rPr>
        <w:t>. ]</w:t>
      </w:r>
      <w:r w:rsidRPr="00430B7D">
        <w:rPr>
          <w:rFonts w:eastAsia="Times New Roman" w:cstheme="minorHAnsi"/>
          <w:color w:val="030A13"/>
          <w:sz w:val="16"/>
          <w:szCs w:val="16"/>
        </w:rPr>
        <w:t xml:space="preserve"> Ehrlich, S., Gwynne, J. A., </w:t>
      </w:r>
      <w:proofErr w:type="spellStart"/>
      <w:r w:rsidRPr="00430B7D">
        <w:rPr>
          <w:rFonts w:eastAsia="Times New Roman" w:cstheme="minorHAnsi"/>
          <w:color w:val="030A13"/>
          <w:sz w:val="16"/>
          <w:szCs w:val="16"/>
        </w:rPr>
        <w:t>Pareja</w:t>
      </w:r>
      <w:proofErr w:type="spellEnd"/>
      <w:r w:rsidRPr="00430B7D">
        <w:rPr>
          <w:rFonts w:eastAsia="Times New Roman" w:cstheme="minorHAnsi"/>
          <w:color w:val="030A13"/>
          <w:sz w:val="16"/>
          <w:szCs w:val="16"/>
        </w:rPr>
        <w:t xml:space="preserve">, A. S., and </w:t>
      </w:r>
      <w:proofErr w:type="spellStart"/>
      <w:r w:rsidRPr="00430B7D">
        <w:rPr>
          <w:rFonts w:eastAsia="Times New Roman" w:cstheme="minorHAnsi"/>
          <w:color w:val="030A13"/>
          <w:sz w:val="16"/>
          <w:szCs w:val="16"/>
        </w:rPr>
        <w:t>Allensworth</w:t>
      </w:r>
      <w:proofErr w:type="spellEnd"/>
      <w:r w:rsidRPr="00430B7D">
        <w:rPr>
          <w:rFonts w:eastAsia="Times New Roman" w:cstheme="minorHAnsi"/>
          <w:color w:val="030A13"/>
          <w:sz w:val="16"/>
          <w:szCs w:val="16"/>
        </w:rPr>
        <w:t>, E. M. (2013).  </w:t>
      </w:r>
      <w:r w:rsidRPr="00430B7D">
        <w:rPr>
          <w:rFonts w:eastAsia="Times New Roman" w:cstheme="minorHAnsi"/>
          <w:i/>
          <w:iCs/>
          <w:color w:val="030A13"/>
          <w:sz w:val="16"/>
          <w:szCs w:val="16"/>
        </w:rPr>
        <w:t>Preschool Attendance in Chicago Public Schools: Relationships with Learning Outcomes and Reasons for Absences.</w:t>
      </w:r>
      <w:r w:rsidRPr="00430B7D">
        <w:rPr>
          <w:rFonts w:eastAsia="Times New Roman" w:cstheme="minorHAnsi"/>
          <w:color w:val="030A13"/>
          <w:sz w:val="16"/>
          <w:szCs w:val="16"/>
        </w:rPr>
        <w:t xml:space="preserve">  Chicago:  The University of Chicago Consortium on Chicago School Reform. </w:t>
      </w:r>
      <w:r>
        <w:rPr>
          <w:rFonts w:eastAsia="Times New Roman" w:cstheme="minorHAnsi"/>
          <w:color w:val="030A13"/>
          <w:sz w:val="16"/>
          <w:szCs w:val="16"/>
        </w:rPr>
        <w:t xml:space="preserve"> </w:t>
      </w:r>
      <w:proofErr w:type="gramStart"/>
      <w:r w:rsidRPr="00430B7D">
        <w:rPr>
          <w:rFonts w:eastAsia="Times New Roman" w:cstheme="minorHAnsi"/>
          <w:color w:val="030A13"/>
          <w:sz w:val="16"/>
          <w:szCs w:val="16"/>
        </w:rPr>
        <w:t xml:space="preserve">Available at </w:t>
      </w:r>
      <w:hyperlink r:id="rId30" w:history="1">
        <w:r w:rsidRPr="00430B7D">
          <w:rPr>
            <w:rFonts w:eastAsia="Times New Roman" w:cstheme="minorHAnsi"/>
            <w:color w:val="115CA7"/>
            <w:sz w:val="16"/>
            <w:szCs w:val="16"/>
          </w:rPr>
          <w:t>https://ccsr.uchicago.edu/publications/preschool-attendance-chicago-public-schools-relationships-learning-outcomes-and-reasons</w:t>
        </w:r>
      </w:hyperlink>
      <w:r w:rsidRPr="00430B7D">
        <w:rPr>
          <w:rFonts w:eastAsia="Times New Roman" w:cstheme="minorHAnsi"/>
          <w:color w:val="030A13"/>
          <w:sz w:val="16"/>
          <w:szCs w:val="16"/>
        </w:rPr>
        <w:t>.</w:t>
      </w:r>
      <w:proofErr w:type="gramEnd"/>
      <w:r w:rsidRPr="00430B7D">
        <w:rPr>
          <w:rFonts w:eastAsia="Times New Roman" w:cstheme="minorHAnsi"/>
          <w:color w:val="030A13"/>
          <w:sz w:val="16"/>
          <w:szCs w:val="16"/>
        </w:rPr>
        <w:t xml:space="preserve"> </w:t>
      </w:r>
    </w:p>
    <w:p w:rsidR="00430B7D" w:rsidRPr="00430B7D" w:rsidRDefault="00430B7D" w:rsidP="00430B7D">
      <w:pPr>
        <w:spacing w:after="150" w:line="240" w:lineRule="auto"/>
        <w:rPr>
          <w:rFonts w:eastAsia="Times New Roman" w:cstheme="minorHAnsi"/>
          <w:color w:val="030A13"/>
          <w:sz w:val="16"/>
          <w:szCs w:val="16"/>
        </w:rPr>
      </w:pPr>
      <w:bookmarkStart w:id="26" w:name="footnote-9"/>
      <w:bookmarkEnd w:id="26"/>
      <w:proofErr w:type="gramStart"/>
      <w:r w:rsidRPr="00430B7D">
        <w:rPr>
          <w:rFonts w:eastAsia="Times New Roman" w:cstheme="minorHAnsi"/>
          <w:b/>
          <w:bCs/>
          <w:color w:val="030A13"/>
          <w:sz w:val="16"/>
          <w:szCs w:val="16"/>
          <w:vertAlign w:val="superscript"/>
        </w:rPr>
        <w:t>[ 9</w:t>
      </w:r>
      <w:proofErr w:type="gramEnd"/>
      <w:r w:rsidRPr="00430B7D">
        <w:rPr>
          <w:rFonts w:eastAsia="Times New Roman" w:cstheme="minorHAnsi"/>
          <w:b/>
          <w:bCs/>
          <w:color w:val="030A13"/>
          <w:sz w:val="16"/>
          <w:szCs w:val="16"/>
          <w:vertAlign w:val="superscript"/>
        </w:rPr>
        <w:t>. ]</w:t>
      </w:r>
      <w:r w:rsidRPr="00430B7D">
        <w:rPr>
          <w:rFonts w:eastAsia="Times New Roman" w:cstheme="minorHAnsi"/>
          <w:color w:val="030A13"/>
          <w:sz w:val="16"/>
          <w:szCs w:val="16"/>
        </w:rPr>
        <w:t xml:space="preserve"> Hernandez, D. (2011).  </w:t>
      </w:r>
      <w:r w:rsidRPr="00430B7D">
        <w:rPr>
          <w:rFonts w:eastAsia="Times New Roman" w:cstheme="minorHAnsi"/>
          <w:i/>
          <w:iCs/>
          <w:color w:val="030A13"/>
          <w:sz w:val="16"/>
          <w:szCs w:val="16"/>
        </w:rPr>
        <w:t>Double Jeopardy:  How Third-Grade Reading Skills and Poverty Influence High School Graduation</w:t>
      </w:r>
      <w:r w:rsidRPr="00430B7D">
        <w:rPr>
          <w:rFonts w:eastAsia="Times New Roman" w:cstheme="minorHAnsi"/>
          <w:color w:val="030A13"/>
          <w:sz w:val="16"/>
          <w:szCs w:val="16"/>
        </w:rPr>
        <w:t>.  Baltimore:  The Annie E. Casey Foundation, p. 6.  </w:t>
      </w:r>
    </w:p>
    <w:p w:rsidR="00430B7D" w:rsidRPr="00430B7D" w:rsidRDefault="00430B7D" w:rsidP="00430B7D">
      <w:pPr>
        <w:spacing w:after="150" w:line="240" w:lineRule="auto"/>
        <w:rPr>
          <w:rFonts w:eastAsia="Times New Roman" w:cstheme="minorHAnsi"/>
          <w:color w:val="030A13"/>
          <w:sz w:val="16"/>
          <w:szCs w:val="16"/>
        </w:rPr>
      </w:pPr>
      <w:bookmarkStart w:id="27" w:name="footnote-10"/>
      <w:bookmarkEnd w:id="27"/>
      <w:proofErr w:type="gramStart"/>
      <w:r w:rsidRPr="00430B7D">
        <w:rPr>
          <w:rFonts w:eastAsia="Times New Roman" w:cstheme="minorHAnsi"/>
          <w:b/>
          <w:bCs/>
          <w:color w:val="030A13"/>
          <w:sz w:val="16"/>
          <w:szCs w:val="16"/>
          <w:vertAlign w:val="superscript"/>
        </w:rPr>
        <w:t>[ 10</w:t>
      </w:r>
      <w:proofErr w:type="gramEnd"/>
      <w:r w:rsidRPr="00430B7D">
        <w:rPr>
          <w:rFonts w:eastAsia="Times New Roman" w:cstheme="minorHAnsi"/>
          <w:b/>
          <w:bCs/>
          <w:color w:val="030A13"/>
          <w:sz w:val="16"/>
          <w:szCs w:val="16"/>
          <w:vertAlign w:val="superscript"/>
        </w:rPr>
        <w:t>. ]</w:t>
      </w:r>
      <w:r w:rsidRPr="00430B7D">
        <w:rPr>
          <w:rFonts w:eastAsia="Times New Roman" w:cstheme="minorHAnsi"/>
          <w:color w:val="030A13"/>
          <w:sz w:val="16"/>
          <w:szCs w:val="16"/>
        </w:rPr>
        <w:t xml:space="preserve"> Utah Education Policy Center at the University of Utah. (2012)</w:t>
      </w:r>
      <w:proofErr w:type="gramStart"/>
      <w:r w:rsidRPr="00430B7D">
        <w:rPr>
          <w:rFonts w:eastAsia="Times New Roman" w:cstheme="minorHAnsi"/>
          <w:color w:val="030A13"/>
          <w:sz w:val="16"/>
          <w:szCs w:val="16"/>
        </w:rPr>
        <w:t>.  </w:t>
      </w:r>
      <w:r w:rsidRPr="00430B7D">
        <w:rPr>
          <w:rFonts w:eastAsia="Times New Roman" w:cstheme="minorHAnsi"/>
          <w:i/>
          <w:iCs/>
          <w:color w:val="030A13"/>
          <w:sz w:val="16"/>
          <w:szCs w:val="16"/>
        </w:rPr>
        <w:t>Research</w:t>
      </w:r>
      <w:proofErr w:type="gramEnd"/>
      <w:r w:rsidRPr="00430B7D">
        <w:rPr>
          <w:rFonts w:eastAsia="Times New Roman" w:cstheme="minorHAnsi"/>
          <w:i/>
          <w:iCs/>
          <w:color w:val="030A13"/>
          <w:sz w:val="16"/>
          <w:szCs w:val="16"/>
        </w:rPr>
        <w:t xml:space="preserve"> Brief:  Chronic Absenteeism</w:t>
      </w:r>
      <w:r w:rsidRPr="00430B7D">
        <w:rPr>
          <w:rFonts w:eastAsia="Times New Roman" w:cstheme="minorHAnsi"/>
          <w:color w:val="030A13"/>
          <w:sz w:val="16"/>
          <w:szCs w:val="16"/>
        </w:rPr>
        <w:t>.  </w:t>
      </w:r>
      <w:proofErr w:type="gramStart"/>
      <w:r w:rsidRPr="00430B7D">
        <w:rPr>
          <w:rFonts w:eastAsia="Times New Roman" w:cstheme="minorHAnsi"/>
          <w:color w:val="030A13"/>
          <w:sz w:val="16"/>
          <w:szCs w:val="16"/>
        </w:rPr>
        <w:t xml:space="preserve">Available at </w:t>
      </w:r>
      <w:hyperlink r:id="rId31" w:history="1">
        <w:r w:rsidRPr="00430B7D">
          <w:rPr>
            <w:rFonts w:eastAsia="Times New Roman" w:cstheme="minorHAnsi"/>
            <w:color w:val="115CA7"/>
            <w:sz w:val="16"/>
            <w:szCs w:val="16"/>
          </w:rPr>
          <w:t>http://www.utahdataalliance.org/downloads/ChronicAbsenteeismResearchBrief.pdf.</w:t>
        </w:r>
        <w:proofErr w:type="gramEnd"/>
      </w:hyperlink>
      <w:r w:rsidRPr="00430B7D">
        <w:rPr>
          <w:rFonts w:eastAsia="Times New Roman" w:cstheme="minorHAnsi"/>
          <w:color w:val="030A13"/>
          <w:sz w:val="16"/>
          <w:szCs w:val="16"/>
        </w:rPr>
        <w:t xml:space="preserve"> (“2013 RAND Study”).</w:t>
      </w:r>
    </w:p>
    <w:p w:rsidR="00430B7D" w:rsidRPr="00430B7D" w:rsidRDefault="00430B7D" w:rsidP="00430B7D">
      <w:pPr>
        <w:spacing w:after="150" w:line="240" w:lineRule="auto"/>
        <w:rPr>
          <w:rFonts w:eastAsia="Times New Roman" w:cstheme="minorHAnsi"/>
          <w:color w:val="030A13"/>
          <w:sz w:val="16"/>
          <w:szCs w:val="16"/>
        </w:rPr>
      </w:pPr>
      <w:bookmarkStart w:id="28" w:name="footnote-11"/>
      <w:bookmarkEnd w:id="28"/>
      <w:proofErr w:type="gramStart"/>
      <w:r w:rsidRPr="00430B7D">
        <w:rPr>
          <w:rFonts w:eastAsia="Times New Roman" w:cstheme="minorHAnsi"/>
          <w:b/>
          <w:bCs/>
          <w:color w:val="030A13"/>
          <w:sz w:val="16"/>
          <w:szCs w:val="16"/>
          <w:vertAlign w:val="superscript"/>
        </w:rPr>
        <w:t>[ 11</w:t>
      </w:r>
      <w:proofErr w:type="gramEnd"/>
      <w:r w:rsidRPr="00430B7D">
        <w:rPr>
          <w:rFonts w:eastAsia="Times New Roman" w:cstheme="minorHAnsi"/>
          <w:b/>
          <w:bCs/>
          <w:color w:val="030A13"/>
          <w:sz w:val="16"/>
          <w:szCs w:val="16"/>
          <w:vertAlign w:val="superscript"/>
        </w:rPr>
        <w:t>. ]</w:t>
      </w:r>
      <w:r w:rsidRPr="00430B7D">
        <w:rPr>
          <w:rFonts w:eastAsia="Times New Roman" w:cstheme="minorHAnsi"/>
          <w:color w:val="030A13"/>
          <w:sz w:val="16"/>
          <w:szCs w:val="16"/>
        </w:rPr>
        <w:t xml:space="preserve"> </w:t>
      </w:r>
      <w:proofErr w:type="spellStart"/>
      <w:r w:rsidRPr="00430B7D">
        <w:rPr>
          <w:rFonts w:eastAsia="Times New Roman" w:cstheme="minorHAnsi"/>
          <w:color w:val="030A13"/>
          <w:sz w:val="16"/>
          <w:szCs w:val="16"/>
        </w:rPr>
        <w:t>Nauer</w:t>
      </w:r>
      <w:proofErr w:type="spellEnd"/>
      <w:r w:rsidRPr="00430B7D">
        <w:rPr>
          <w:rFonts w:eastAsia="Times New Roman" w:cstheme="minorHAnsi"/>
          <w:color w:val="030A13"/>
          <w:sz w:val="16"/>
          <w:szCs w:val="16"/>
        </w:rPr>
        <w:t>, K. et al. (2014).  </w:t>
      </w:r>
      <w:r w:rsidRPr="00430B7D">
        <w:rPr>
          <w:rFonts w:eastAsia="Times New Roman" w:cstheme="minorHAnsi"/>
          <w:i/>
          <w:iCs/>
          <w:color w:val="030A13"/>
          <w:sz w:val="16"/>
          <w:szCs w:val="16"/>
        </w:rPr>
        <w:t>A Better Picture of Poverty:  What Chronic Absenteeism and Risk Load Reveal About NYC's Lowest-Income Elementary Schools.</w:t>
      </w:r>
      <w:r w:rsidRPr="00430B7D">
        <w:rPr>
          <w:rFonts w:eastAsia="Times New Roman" w:cstheme="minorHAnsi"/>
          <w:color w:val="030A13"/>
          <w:sz w:val="16"/>
          <w:szCs w:val="16"/>
        </w:rPr>
        <w:t xml:space="preserve">  New York:  Center for New York City Affairs, </w:t>
      </w:r>
      <w:proofErr w:type="gramStart"/>
      <w:r w:rsidRPr="00430B7D">
        <w:rPr>
          <w:rFonts w:eastAsia="Times New Roman" w:cstheme="minorHAnsi"/>
          <w:color w:val="030A13"/>
          <w:sz w:val="16"/>
          <w:szCs w:val="16"/>
        </w:rPr>
        <w:t>The</w:t>
      </w:r>
      <w:proofErr w:type="gramEnd"/>
      <w:r w:rsidRPr="00430B7D">
        <w:rPr>
          <w:rFonts w:eastAsia="Times New Roman" w:cstheme="minorHAnsi"/>
          <w:color w:val="030A13"/>
          <w:sz w:val="16"/>
          <w:szCs w:val="16"/>
        </w:rPr>
        <w:t xml:space="preserve"> Milano School of International Affairs, Management, and Urban Policy.  Available at </w:t>
      </w:r>
      <w:hyperlink r:id="rId32" w:history="1">
        <w:r w:rsidRPr="00430B7D">
          <w:rPr>
            <w:rFonts w:eastAsia="Times New Roman" w:cstheme="minorHAnsi"/>
            <w:color w:val="115CA7"/>
            <w:sz w:val="16"/>
            <w:szCs w:val="16"/>
          </w:rPr>
          <w:t>www.centernyc.org/betterpictureofpoverty/</w:t>
        </w:r>
      </w:hyperlink>
    </w:p>
    <w:p w:rsidR="00430B7D" w:rsidRPr="00430B7D" w:rsidRDefault="00430B7D" w:rsidP="00430B7D">
      <w:pPr>
        <w:spacing w:after="150" w:line="240" w:lineRule="auto"/>
        <w:rPr>
          <w:rFonts w:eastAsia="Times New Roman" w:cstheme="minorHAnsi"/>
          <w:color w:val="030A13"/>
          <w:sz w:val="16"/>
          <w:szCs w:val="16"/>
        </w:rPr>
      </w:pPr>
      <w:bookmarkStart w:id="29" w:name="footnote-12"/>
      <w:bookmarkEnd w:id="29"/>
      <w:proofErr w:type="gramStart"/>
      <w:r w:rsidRPr="00430B7D">
        <w:rPr>
          <w:rFonts w:eastAsia="Times New Roman" w:cstheme="minorHAnsi"/>
          <w:b/>
          <w:bCs/>
          <w:color w:val="030A13"/>
          <w:sz w:val="16"/>
          <w:szCs w:val="16"/>
          <w:vertAlign w:val="superscript"/>
        </w:rPr>
        <w:t>[ 12</w:t>
      </w:r>
      <w:proofErr w:type="gramEnd"/>
      <w:r w:rsidRPr="00430B7D">
        <w:rPr>
          <w:rFonts w:eastAsia="Times New Roman" w:cstheme="minorHAnsi"/>
          <w:b/>
          <w:bCs/>
          <w:color w:val="030A13"/>
          <w:sz w:val="16"/>
          <w:szCs w:val="16"/>
          <w:vertAlign w:val="superscript"/>
        </w:rPr>
        <w:t>. ]</w:t>
      </w:r>
      <w:r w:rsidRPr="00430B7D">
        <w:rPr>
          <w:rFonts w:eastAsia="Times New Roman" w:cstheme="minorHAnsi"/>
          <w:color w:val="030A13"/>
          <w:sz w:val="16"/>
          <w:szCs w:val="16"/>
        </w:rPr>
        <w:t xml:space="preserve"> Cutler, D. M., </w:t>
      </w:r>
      <w:proofErr w:type="spellStart"/>
      <w:r w:rsidRPr="00430B7D">
        <w:rPr>
          <w:rFonts w:eastAsia="Times New Roman" w:cstheme="minorHAnsi"/>
          <w:color w:val="030A13"/>
          <w:sz w:val="16"/>
          <w:szCs w:val="16"/>
        </w:rPr>
        <w:t>Lleras-Muney</w:t>
      </w:r>
      <w:proofErr w:type="spellEnd"/>
      <w:r w:rsidRPr="00430B7D">
        <w:rPr>
          <w:rFonts w:eastAsia="Times New Roman" w:cstheme="minorHAnsi"/>
          <w:color w:val="030A13"/>
          <w:sz w:val="16"/>
          <w:szCs w:val="16"/>
        </w:rPr>
        <w:t>, A. (2006).  </w:t>
      </w:r>
      <w:r w:rsidRPr="00430B7D">
        <w:rPr>
          <w:rFonts w:eastAsia="Times New Roman" w:cstheme="minorHAnsi"/>
          <w:i/>
          <w:iCs/>
          <w:color w:val="030A13"/>
          <w:sz w:val="16"/>
          <w:szCs w:val="16"/>
        </w:rPr>
        <w:t xml:space="preserve">Education and Health:  Evaluating Theories and Evidence. </w:t>
      </w:r>
      <w:r w:rsidRPr="00430B7D">
        <w:rPr>
          <w:rFonts w:eastAsia="Times New Roman" w:cstheme="minorHAnsi"/>
          <w:color w:val="030A13"/>
          <w:sz w:val="16"/>
          <w:szCs w:val="16"/>
        </w:rPr>
        <w:t> National Bureau of Economic Research, NBER Working Paper No. 12352.  </w:t>
      </w:r>
      <w:proofErr w:type="gramStart"/>
      <w:r w:rsidRPr="00430B7D">
        <w:rPr>
          <w:rFonts w:eastAsia="Times New Roman" w:cstheme="minorHAnsi"/>
          <w:color w:val="030A13"/>
          <w:sz w:val="16"/>
          <w:szCs w:val="16"/>
        </w:rPr>
        <w:t xml:space="preserve">Retrieved at </w:t>
      </w:r>
      <w:hyperlink r:id="rId33" w:history="1">
        <w:r w:rsidRPr="00430B7D">
          <w:rPr>
            <w:rFonts w:eastAsia="Times New Roman" w:cstheme="minorHAnsi"/>
            <w:color w:val="115CA7"/>
            <w:sz w:val="16"/>
            <w:szCs w:val="16"/>
          </w:rPr>
          <w:t>www.econ.ucla.edu/alleras/research/books/Education_and_Health_July_2006.pdf</w:t>
        </w:r>
      </w:hyperlink>
      <w:r w:rsidRPr="00430B7D">
        <w:rPr>
          <w:rFonts w:eastAsia="Times New Roman" w:cstheme="minorHAnsi"/>
          <w:color w:val="030A13"/>
          <w:sz w:val="16"/>
          <w:szCs w:val="16"/>
        </w:rPr>
        <w:t>.</w:t>
      </w:r>
      <w:proofErr w:type="gramEnd"/>
      <w:r w:rsidRPr="00430B7D">
        <w:rPr>
          <w:rFonts w:eastAsia="Times New Roman" w:cstheme="minorHAnsi"/>
          <w:color w:val="030A13"/>
          <w:sz w:val="16"/>
          <w:szCs w:val="16"/>
        </w:rPr>
        <w:t xml:space="preserve"> </w:t>
      </w:r>
    </w:p>
    <w:p w:rsidR="00430B7D" w:rsidRPr="00430B7D" w:rsidRDefault="00430B7D" w:rsidP="00430B7D">
      <w:pPr>
        <w:spacing w:after="150" w:line="240" w:lineRule="auto"/>
        <w:rPr>
          <w:rFonts w:eastAsia="Times New Roman" w:cstheme="minorHAnsi"/>
          <w:color w:val="030A13"/>
          <w:sz w:val="16"/>
          <w:szCs w:val="16"/>
        </w:rPr>
      </w:pPr>
      <w:bookmarkStart w:id="30" w:name="footnote-13"/>
      <w:bookmarkEnd w:id="30"/>
      <w:proofErr w:type="gramStart"/>
      <w:r w:rsidRPr="00430B7D">
        <w:rPr>
          <w:rFonts w:eastAsia="Times New Roman" w:cstheme="minorHAnsi"/>
          <w:b/>
          <w:bCs/>
          <w:color w:val="030A13"/>
          <w:sz w:val="16"/>
          <w:szCs w:val="16"/>
          <w:vertAlign w:val="superscript"/>
        </w:rPr>
        <w:t>[ 13</w:t>
      </w:r>
      <w:proofErr w:type="gramEnd"/>
      <w:r w:rsidRPr="00430B7D">
        <w:rPr>
          <w:rFonts w:eastAsia="Times New Roman" w:cstheme="minorHAnsi"/>
          <w:b/>
          <w:bCs/>
          <w:color w:val="030A13"/>
          <w:sz w:val="16"/>
          <w:szCs w:val="16"/>
          <w:vertAlign w:val="superscript"/>
        </w:rPr>
        <w:t>. ]</w:t>
      </w:r>
      <w:r w:rsidRPr="00430B7D">
        <w:rPr>
          <w:rFonts w:eastAsia="Times New Roman" w:cstheme="minorHAnsi"/>
          <w:color w:val="030A13"/>
          <w:sz w:val="16"/>
          <w:szCs w:val="16"/>
        </w:rPr>
        <w:t xml:space="preserve"> Page, A., </w:t>
      </w:r>
      <w:proofErr w:type="spellStart"/>
      <w:r w:rsidRPr="00430B7D">
        <w:rPr>
          <w:rFonts w:eastAsia="Times New Roman" w:cstheme="minorHAnsi"/>
          <w:color w:val="030A13"/>
          <w:sz w:val="16"/>
          <w:szCs w:val="16"/>
        </w:rPr>
        <w:t>Petteruti</w:t>
      </w:r>
      <w:proofErr w:type="spellEnd"/>
      <w:r w:rsidRPr="00430B7D">
        <w:rPr>
          <w:rFonts w:eastAsia="Times New Roman" w:cstheme="minorHAnsi"/>
          <w:color w:val="030A13"/>
          <w:sz w:val="16"/>
          <w:szCs w:val="16"/>
        </w:rPr>
        <w:t xml:space="preserve">, A., Walsh, N., </w:t>
      </w:r>
      <w:proofErr w:type="spellStart"/>
      <w:r w:rsidRPr="00430B7D">
        <w:rPr>
          <w:rFonts w:eastAsia="Times New Roman" w:cstheme="minorHAnsi"/>
          <w:color w:val="030A13"/>
          <w:sz w:val="16"/>
          <w:szCs w:val="16"/>
        </w:rPr>
        <w:t>Ziedenberg</w:t>
      </w:r>
      <w:proofErr w:type="spellEnd"/>
      <w:r w:rsidRPr="00430B7D">
        <w:rPr>
          <w:rFonts w:eastAsia="Times New Roman" w:cstheme="minorHAnsi"/>
          <w:color w:val="030A13"/>
          <w:sz w:val="16"/>
          <w:szCs w:val="16"/>
        </w:rPr>
        <w:t>, J. (2007).  </w:t>
      </w:r>
      <w:proofErr w:type="gramStart"/>
      <w:r w:rsidRPr="00430B7D">
        <w:rPr>
          <w:rFonts w:eastAsia="Times New Roman" w:cstheme="minorHAnsi"/>
          <w:i/>
          <w:iCs/>
          <w:color w:val="030A13"/>
          <w:sz w:val="16"/>
          <w:szCs w:val="16"/>
        </w:rPr>
        <w:t>Education and Public Safety</w:t>
      </w:r>
      <w:r w:rsidRPr="00430B7D">
        <w:rPr>
          <w:rFonts w:eastAsia="Times New Roman" w:cstheme="minorHAnsi"/>
          <w:color w:val="030A13"/>
          <w:sz w:val="16"/>
          <w:szCs w:val="16"/>
        </w:rPr>
        <w:t>.</w:t>
      </w:r>
      <w:proofErr w:type="gramEnd"/>
      <w:r w:rsidRPr="00430B7D">
        <w:rPr>
          <w:rFonts w:eastAsia="Times New Roman" w:cstheme="minorHAnsi"/>
          <w:color w:val="030A13"/>
          <w:sz w:val="16"/>
          <w:szCs w:val="16"/>
        </w:rPr>
        <w:t xml:space="preserve">  Washington, DC:  Justice Policy Center.  </w:t>
      </w:r>
      <w:proofErr w:type="gramStart"/>
      <w:r w:rsidRPr="00430B7D">
        <w:rPr>
          <w:rFonts w:eastAsia="Times New Roman" w:cstheme="minorHAnsi"/>
          <w:color w:val="030A13"/>
          <w:sz w:val="16"/>
          <w:szCs w:val="16"/>
        </w:rPr>
        <w:t xml:space="preserve">Retrieved at </w:t>
      </w:r>
      <w:hyperlink r:id="rId34" w:history="1">
        <w:r w:rsidRPr="00430B7D">
          <w:rPr>
            <w:rFonts w:eastAsia="Times New Roman" w:cstheme="minorHAnsi"/>
            <w:color w:val="115CA7"/>
            <w:sz w:val="16"/>
            <w:szCs w:val="16"/>
          </w:rPr>
          <w:t>www.justicepolicy.org/images/upload/07-08_rep_educationandpublicsafety_ps-ac.pdf</w:t>
        </w:r>
      </w:hyperlink>
      <w:r w:rsidRPr="00430B7D">
        <w:rPr>
          <w:rFonts w:eastAsia="Times New Roman" w:cstheme="minorHAnsi"/>
          <w:color w:val="030A13"/>
          <w:sz w:val="16"/>
          <w:szCs w:val="16"/>
        </w:rPr>
        <w:t>.</w:t>
      </w:r>
      <w:proofErr w:type="gramEnd"/>
      <w:r w:rsidRPr="00430B7D">
        <w:rPr>
          <w:rFonts w:eastAsia="Times New Roman" w:cstheme="minorHAnsi"/>
          <w:color w:val="030A13"/>
          <w:sz w:val="16"/>
          <w:szCs w:val="16"/>
        </w:rPr>
        <w:t xml:space="preserve"> </w:t>
      </w:r>
    </w:p>
    <w:p w:rsidR="00430B7D" w:rsidRPr="00430B7D" w:rsidRDefault="00430B7D" w:rsidP="00430B7D">
      <w:pPr>
        <w:spacing w:after="150" w:line="240" w:lineRule="auto"/>
        <w:rPr>
          <w:rFonts w:eastAsia="Times New Roman" w:cstheme="minorHAnsi"/>
          <w:color w:val="030A13"/>
          <w:sz w:val="16"/>
          <w:szCs w:val="16"/>
        </w:rPr>
      </w:pPr>
      <w:bookmarkStart w:id="31" w:name="footnote-14"/>
      <w:bookmarkEnd w:id="31"/>
      <w:proofErr w:type="gramStart"/>
      <w:r w:rsidRPr="00430B7D">
        <w:rPr>
          <w:rFonts w:eastAsia="Times New Roman" w:cstheme="minorHAnsi"/>
          <w:b/>
          <w:bCs/>
          <w:color w:val="030A13"/>
          <w:sz w:val="16"/>
          <w:szCs w:val="16"/>
          <w:vertAlign w:val="superscript"/>
        </w:rPr>
        <w:t>[ 14</w:t>
      </w:r>
      <w:proofErr w:type="gramEnd"/>
      <w:r w:rsidRPr="00430B7D">
        <w:rPr>
          <w:rFonts w:eastAsia="Times New Roman" w:cstheme="minorHAnsi"/>
          <w:b/>
          <w:bCs/>
          <w:color w:val="030A13"/>
          <w:sz w:val="16"/>
          <w:szCs w:val="16"/>
          <w:vertAlign w:val="superscript"/>
        </w:rPr>
        <w:t>. ]</w:t>
      </w:r>
      <w:r w:rsidRPr="00430B7D">
        <w:rPr>
          <w:rFonts w:eastAsia="Times New Roman" w:cstheme="minorHAnsi"/>
          <w:color w:val="030A13"/>
          <w:sz w:val="16"/>
          <w:szCs w:val="16"/>
        </w:rPr>
        <w:t xml:space="preserve">Bruner, C., </w:t>
      </w:r>
      <w:proofErr w:type="spellStart"/>
      <w:r w:rsidRPr="00430B7D">
        <w:rPr>
          <w:rFonts w:eastAsia="Times New Roman" w:cstheme="minorHAnsi"/>
          <w:color w:val="030A13"/>
          <w:sz w:val="16"/>
          <w:szCs w:val="16"/>
        </w:rPr>
        <w:t>Discher</w:t>
      </w:r>
      <w:proofErr w:type="spellEnd"/>
      <w:r w:rsidRPr="00430B7D">
        <w:rPr>
          <w:rFonts w:eastAsia="Times New Roman" w:cstheme="minorHAnsi"/>
          <w:color w:val="030A13"/>
          <w:sz w:val="16"/>
          <w:szCs w:val="16"/>
        </w:rPr>
        <w:t>, A., Chang, H. (2011).  </w:t>
      </w:r>
      <w:r w:rsidRPr="00430B7D">
        <w:rPr>
          <w:rFonts w:eastAsia="Times New Roman" w:cstheme="minorHAnsi"/>
          <w:i/>
          <w:iCs/>
          <w:color w:val="030A13"/>
          <w:sz w:val="16"/>
          <w:szCs w:val="16"/>
        </w:rPr>
        <w:t>Chronic Elementary Absenteeism:  A Problem Hidden in Plain Sight</w:t>
      </w:r>
      <w:r w:rsidRPr="00430B7D">
        <w:rPr>
          <w:rFonts w:eastAsia="Times New Roman" w:cstheme="minorHAnsi"/>
          <w:color w:val="030A13"/>
          <w:sz w:val="16"/>
          <w:szCs w:val="16"/>
        </w:rPr>
        <w:t>.  Attendance Works and Child &amp; Family Policy Center.  </w:t>
      </w:r>
      <w:proofErr w:type="gramStart"/>
      <w:r w:rsidRPr="00430B7D">
        <w:rPr>
          <w:rFonts w:eastAsia="Times New Roman" w:cstheme="minorHAnsi"/>
          <w:color w:val="030A13"/>
          <w:sz w:val="16"/>
          <w:szCs w:val="16"/>
        </w:rPr>
        <w:t xml:space="preserve">Available at </w:t>
      </w:r>
      <w:hyperlink r:id="rId35" w:history="1">
        <w:r w:rsidRPr="00430B7D">
          <w:rPr>
            <w:rFonts w:eastAsia="Times New Roman" w:cstheme="minorHAnsi"/>
            <w:color w:val="115CA7"/>
            <w:sz w:val="16"/>
            <w:szCs w:val="16"/>
          </w:rPr>
          <w:t>http://www.attendanceworks.org/wordpress/wp-content/uploads/2010/04/ChronicAbsence.pdf</w:t>
        </w:r>
      </w:hyperlink>
      <w:r w:rsidRPr="00430B7D">
        <w:rPr>
          <w:rFonts w:eastAsia="Times New Roman" w:cstheme="minorHAnsi"/>
          <w:color w:val="030A13"/>
          <w:sz w:val="16"/>
          <w:szCs w:val="16"/>
        </w:rPr>
        <w:t>.</w:t>
      </w:r>
      <w:proofErr w:type="gramEnd"/>
      <w:r w:rsidRPr="00430B7D">
        <w:rPr>
          <w:rFonts w:eastAsia="Times New Roman" w:cstheme="minorHAnsi"/>
          <w:color w:val="030A13"/>
          <w:sz w:val="16"/>
          <w:szCs w:val="16"/>
        </w:rPr>
        <w:t xml:space="preserve"> </w:t>
      </w:r>
    </w:p>
    <w:p w:rsidR="00430B7D" w:rsidRPr="00430B7D" w:rsidRDefault="00430B7D" w:rsidP="00430B7D">
      <w:pPr>
        <w:spacing w:after="150" w:line="240" w:lineRule="auto"/>
        <w:rPr>
          <w:rFonts w:eastAsia="Times New Roman" w:cstheme="minorHAnsi"/>
          <w:color w:val="030A13"/>
          <w:sz w:val="16"/>
          <w:szCs w:val="16"/>
        </w:rPr>
      </w:pPr>
      <w:bookmarkStart w:id="32" w:name="footnote-15"/>
      <w:bookmarkEnd w:id="32"/>
      <w:proofErr w:type="gramStart"/>
      <w:r w:rsidRPr="00430B7D">
        <w:rPr>
          <w:rFonts w:eastAsia="Times New Roman" w:cstheme="minorHAnsi"/>
          <w:b/>
          <w:bCs/>
          <w:color w:val="030A13"/>
          <w:sz w:val="16"/>
          <w:szCs w:val="16"/>
          <w:vertAlign w:val="superscript"/>
        </w:rPr>
        <w:t>[ 15</w:t>
      </w:r>
      <w:proofErr w:type="gramEnd"/>
      <w:r w:rsidRPr="00430B7D">
        <w:rPr>
          <w:rFonts w:eastAsia="Times New Roman" w:cstheme="minorHAnsi"/>
          <w:b/>
          <w:bCs/>
          <w:color w:val="030A13"/>
          <w:sz w:val="16"/>
          <w:szCs w:val="16"/>
          <w:vertAlign w:val="superscript"/>
        </w:rPr>
        <w:t>. ]</w:t>
      </w:r>
      <w:proofErr w:type="spellStart"/>
      <w:r w:rsidRPr="00430B7D">
        <w:rPr>
          <w:rFonts w:eastAsia="Times New Roman" w:cstheme="minorHAnsi"/>
          <w:color w:val="030A13"/>
          <w:sz w:val="16"/>
          <w:szCs w:val="16"/>
        </w:rPr>
        <w:t>Balfanz</w:t>
      </w:r>
      <w:proofErr w:type="spellEnd"/>
      <w:r w:rsidRPr="00430B7D">
        <w:rPr>
          <w:rFonts w:eastAsia="Times New Roman" w:cstheme="minorHAnsi"/>
          <w:color w:val="030A13"/>
          <w:sz w:val="16"/>
          <w:szCs w:val="16"/>
        </w:rPr>
        <w:t xml:space="preserve">, R., &amp; Byrnes, V. (2012), p. 6. </w:t>
      </w:r>
    </w:p>
    <w:p w:rsidR="00430B7D" w:rsidRPr="00430B7D" w:rsidRDefault="00430B7D" w:rsidP="00430B7D">
      <w:pPr>
        <w:spacing w:after="150" w:line="240" w:lineRule="auto"/>
        <w:rPr>
          <w:rFonts w:eastAsia="Times New Roman" w:cstheme="minorHAnsi"/>
          <w:color w:val="030A13"/>
          <w:sz w:val="16"/>
          <w:szCs w:val="16"/>
        </w:rPr>
      </w:pPr>
      <w:bookmarkStart w:id="33" w:name="footnote-16"/>
      <w:bookmarkEnd w:id="33"/>
      <w:proofErr w:type="gramStart"/>
      <w:r w:rsidRPr="00430B7D">
        <w:rPr>
          <w:rFonts w:eastAsia="Times New Roman" w:cstheme="minorHAnsi"/>
          <w:b/>
          <w:bCs/>
          <w:color w:val="030A13"/>
          <w:sz w:val="16"/>
          <w:szCs w:val="16"/>
          <w:vertAlign w:val="superscript"/>
        </w:rPr>
        <w:t>[ 16</w:t>
      </w:r>
      <w:proofErr w:type="gramEnd"/>
      <w:r w:rsidRPr="00430B7D">
        <w:rPr>
          <w:rFonts w:eastAsia="Times New Roman" w:cstheme="minorHAnsi"/>
          <w:b/>
          <w:bCs/>
          <w:color w:val="030A13"/>
          <w:sz w:val="16"/>
          <w:szCs w:val="16"/>
          <w:vertAlign w:val="superscript"/>
        </w:rPr>
        <w:t>. ]</w:t>
      </w:r>
      <w:r w:rsidRPr="00430B7D">
        <w:rPr>
          <w:rFonts w:eastAsia="Times New Roman" w:cstheme="minorHAnsi"/>
          <w:color w:val="030A13"/>
          <w:sz w:val="16"/>
          <w:szCs w:val="16"/>
        </w:rPr>
        <w:t>Applied Survey Research. (2011)</w:t>
      </w:r>
      <w:proofErr w:type="gramStart"/>
      <w:r w:rsidRPr="00430B7D">
        <w:rPr>
          <w:rFonts w:eastAsia="Times New Roman" w:cstheme="minorHAnsi"/>
          <w:color w:val="030A13"/>
          <w:sz w:val="16"/>
          <w:szCs w:val="16"/>
        </w:rPr>
        <w:t>.  </w:t>
      </w:r>
      <w:r w:rsidRPr="00430B7D">
        <w:rPr>
          <w:rFonts w:eastAsia="Times New Roman" w:cstheme="minorHAnsi"/>
          <w:i/>
          <w:iCs/>
          <w:color w:val="030A13"/>
          <w:sz w:val="16"/>
          <w:szCs w:val="16"/>
        </w:rPr>
        <w:t>Attendance</w:t>
      </w:r>
      <w:proofErr w:type="gramEnd"/>
      <w:r w:rsidRPr="00430B7D">
        <w:rPr>
          <w:rFonts w:eastAsia="Times New Roman" w:cstheme="minorHAnsi"/>
          <w:i/>
          <w:iCs/>
          <w:color w:val="030A13"/>
          <w:sz w:val="16"/>
          <w:szCs w:val="16"/>
        </w:rPr>
        <w:t xml:space="preserve"> in Early Elementary Grades:  Associations with Student Characteristics, School Readiness, and Third Grade Outcomes</w:t>
      </w:r>
      <w:r w:rsidRPr="00430B7D">
        <w:rPr>
          <w:rFonts w:eastAsia="Times New Roman" w:cstheme="minorHAnsi"/>
          <w:color w:val="030A13"/>
          <w:sz w:val="16"/>
          <w:szCs w:val="16"/>
        </w:rPr>
        <w:t xml:space="preserve">.  Report prepared for Attendance Works.  Available at </w:t>
      </w:r>
      <w:hyperlink r:id="rId36" w:history="1">
        <w:r w:rsidRPr="00430B7D">
          <w:rPr>
            <w:rFonts w:eastAsia="Times New Roman" w:cstheme="minorHAnsi"/>
            <w:color w:val="115CA7"/>
            <w:sz w:val="16"/>
            <w:szCs w:val="16"/>
          </w:rPr>
          <w:t>http://www.attendanceworks.org/wordpress/wp-content/uploads/2010/04/ASR-Mini-Report-Attendance-Readiness-and-Third-Grade-Outcomes-7-8-11.pdf</w:t>
        </w:r>
      </w:hyperlink>
    </w:p>
    <w:p w:rsidR="00430B7D" w:rsidRPr="00430B7D" w:rsidRDefault="00430B7D" w:rsidP="00430B7D">
      <w:pPr>
        <w:spacing w:after="150" w:line="240" w:lineRule="auto"/>
        <w:rPr>
          <w:rFonts w:cstheme="minorHAnsi"/>
          <w:sz w:val="16"/>
          <w:szCs w:val="16"/>
        </w:rPr>
      </w:pPr>
      <w:bookmarkStart w:id="34" w:name="footnote-17"/>
      <w:bookmarkEnd w:id="34"/>
      <w:proofErr w:type="gramStart"/>
      <w:r w:rsidRPr="00430B7D">
        <w:rPr>
          <w:rFonts w:eastAsia="Times New Roman" w:cstheme="minorHAnsi"/>
          <w:b/>
          <w:bCs/>
          <w:color w:val="030A13"/>
          <w:sz w:val="16"/>
          <w:szCs w:val="16"/>
          <w:vertAlign w:val="superscript"/>
        </w:rPr>
        <w:t>[ 17</w:t>
      </w:r>
      <w:proofErr w:type="gramEnd"/>
      <w:r w:rsidRPr="00430B7D">
        <w:rPr>
          <w:rFonts w:eastAsia="Times New Roman" w:cstheme="minorHAnsi"/>
          <w:b/>
          <w:bCs/>
          <w:color w:val="030A13"/>
          <w:sz w:val="16"/>
          <w:szCs w:val="16"/>
          <w:vertAlign w:val="superscript"/>
        </w:rPr>
        <w:t>. ]</w:t>
      </w:r>
      <w:r w:rsidRPr="00430B7D">
        <w:rPr>
          <w:rFonts w:eastAsia="Times New Roman" w:cstheme="minorHAnsi"/>
          <w:color w:val="030A13"/>
          <w:sz w:val="16"/>
          <w:szCs w:val="16"/>
        </w:rPr>
        <w:t xml:space="preserve">Black, A. T., Seder, R. C., &amp; </w:t>
      </w:r>
      <w:proofErr w:type="spellStart"/>
      <w:r w:rsidRPr="00430B7D">
        <w:rPr>
          <w:rFonts w:eastAsia="Times New Roman" w:cstheme="minorHAnsi"/>
          <w:color w:val="030A13"/>
          <w:sz w:val="16"/>
          <w:szCs w:val="16"/>
        </w:rPr>
        <w:t>Kekahio</w:t>
      </w:r>
      <w:proofErr w:type="spellEnd"/>
      <w:r w:rsidRPr="00430B7D">
        <w:rPr>
          <w:rFonts w:eastAsia="Times New Roman" w:cstheme="minorHAnsi"/>
          <w:color w:val="030A13"/>
          <w:sz w:val="16"/>
          <w:szCs w:val="16"/>
        </w:rPr>
        <w:t>, W. (2014).  </w:t>
      </w:r>
      <w:r w:rsidRPr="00430B7D">
        <w:rPr>
          <w:rFonts w:eastAsia="Times New Roman" w:cstheme="minorHAnsi"/>
          <w:i/>
          <w:iCs/>
          <w:color w:val="030A13"/>
          <w:sz w:val="16"/>
          <w:szCs w:val="16"/>
        </w:rPr>
        <w:t xml:space="preserve">Review of research on student </w:t>
      </w:r>
      <w:proofErr w:type="spellStart"/>
      <w:r w:rsidRPr="00430B7D">
        <w:rPr>
          <w:rFonts w:eastAsia="Times New Roman" w:cstheme="minorHAnsi"/>
          <w:i/>
          <w:iCs/>
          <w:color w:val="030A13"/>
          <w:sz w:val="16"/>
          <w:szCs w:val="16"/>
        </w:rPr>
        <w:t>nonenrollment</w:t>
      </w:r>
      <w:proofErr w:type="spellEnd"/>
      <w:r w:rsidRPr="00430B7D">
        <w:rPr>
          <w:rFonts w:eastAsia="Times New Roman" w:cstheme="minorHAnsi"/>
          <w:i/>
          <w:iCs/>
          <w:color w:val="030A13"/>
          <w:sz w:val="16"/>
          <w:szCs w:val="16"/>
        </w:rPr>
        <w:t xml:space="preserve"> and chronic absenteeism:  A report for the Pacific Region </w:t>
      </w:r>
      <w:r w:rsidRPr="00430B7D">
        <w:rPr>
          <w:rFonts w:eastAsia="Times New Roman" w:cstheme="minorHAnsi"/>
          <w:color w:val="030A13"/>
          <w:sz w:val="16"/>
          <w:szCs w:val="16"/>
        </w:rPr>
        <w:t xml:space="preserve">(REL 2015–054).  Washington, DC:  U.S. Department of Education, Institute of Education Sciences, National Center for Education Evaluation and Regional Assistance, Regional Educational Laboratory Pacific.  Retrieved from </w:t>
      </w:r>
      <w:hyperlink r:id="rId37" w:history="1">
        <w:r w:rsidRPr="00430B7D">
          <w:rPr>
            <w:rFonts w:eastAsia="Times New Roman" w:cstheme="minorHAnsi"/>
            <w:color w:val="115CA7"/>
            <w:sz w:val="16"/>
            <w:szCs w:val="16"/>
          </w:rPr>
          <w:t>http://ies.ed.gov/ncee/edlabs</w:t>
        </w:r>
      </w:hyperlink>
    </w:p>
    <w:sectPr w:rsidR="00430B7D" w:rsidRPr="00430B7D" w:rsidSect="00430B7D">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B7D"/>
    <w:rsid w:val="00430B7D"/>
    <w:rsid w:val="005F4738"/>
    <w:rsid w:val="00942FB3"/>
    <w:rsid w:val="00EE3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B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B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377167">
      <w:bodyDiv w:val="1"/>
      <w:marLeft w:val="0"/>
      <w:marRight w:val="0"/>
      <w:marTop w:val="0"/>
      <w:marBottom w:val="0"/>
      <w:divBdr>
        <w:top w:val="none" w:sz="0" w:space="0" w:color="auto"/>
        <w:left w:val="none" w:sz="0" w:space="0" w:color="auto"/>
        <w:bottom w:val="none" w:sz="0" w:space="0" w:color="auto"/>
        <w:right w:val="none" w:sz="0" w:space="0" w:color="auto"/>
      </w:divBdr>
      <w:divsChild>
        <w:div w:id="899054644">
          <w:marLeft w:val="0"/>
          <w:marRight w:val="0"/>
          <w:marTop w:val="0"/>
          <w:marBottom w:val="0"/>
          <w:divBdr>
            <w:top w:val="none" w:sz="0" w:space="0" w:color="auto"/>
            <w:left w:val="none" w:sz="0" w:space="0" w:color="auto"/>
            <w:bottom w:val="none" w:sz="0" w:space="0" w:color="auto"/>
            <w:right w:val="none" w:sz="0" w:space="0" w:color="auto"/>
          </w:divBdr>
          <w:divsChild>
            <w:div w:id="332993055">
              <w:marLeft w:val="-225"/>
              <w:marRight w:val="-225"/>
              <w:marTop w:val="0"/>
              <w:marBottom w:val="0"/>
              <w:divBdr>
                <w:top w:val="none" w:sz="0" w:space="0" w:color="auto"/>
                <w:left w:val="none" w:sz="0" w:space="0" w:color="auto"/>
                <w:bottom w:val="none" w:sz="0" w:space="0" w:color="auto"/>
                <w:right w:val="none" w:sz="0" w:space="0" w:color="auto"/>
              </w:divBdr>
              <w:divsChild>
                <w:div w:id="1014188691">
                  <w:marLeft w:val="0"/>
                  <w:marRight w:val="0"/>
                  <w:marTop w:val="0"/>
                  <w:marBottom w:val="0"/>
                  <w:divBdr>
                    <w:top w:val="none" w:sz="0" w:space="0" w:color="auto"/>
                    <w:left w:val="none" w:sz="0" w:space="0" w:color="auto"/>
                    <w:bottom w:val="none" w:sz="0" w:space="0" w:color="auto"/>
                    <w:right w:val="none" w:sz="0" w:space="0" w:color="auto"/>
                  </w:divBdr>
                  <w:divsChild>
                    <w:div w:id="708723795">
                      <w:marLeft w:val="0"/>
                      <w:marRight w:val="0"/>
                      <w:marTop w:val="0"/>
                      <w:marBottom w:val="0"/>
                      <w:divBdr>
                        <w:top w:val="none" w:sz="0" w:space="0" w:color="auto"/>
                        <w:left w:val="none" w:sz="0" w:space="0" w:color="auto"/>
                        <w:bottom w:val="none" w:sz="0" w:space="0" w:color="auto"/>
                        <w:right w:val="none" w:sz="0" w:space="0" w:color="auto"/>
                      </w:divBdr>
                      <w:divsChild>
                        <w:div w:id="1370955251">
                          <w:marLeft w:val="0"/>
                          <w:marRight w:val="0"/>
                          <w:marTop w:val="0"/>
                          <w:marBottom w:val="0"/>
                          <w:divBdr>
                            <w:top w:val="none" w:sz="0" w:space="0" w:color="auto"/>
                            <w:left w:val="none" w:sz="0" w:space="0" w:color="auto"/>
                            <w:bottom w:val="none" w:sz="0" w:space="0" w:color="auto"/>
                            <w:right w:val="none" w:sz="0" w:space="0" w:color="auto"/>
                          </w:divBdr>
                        </w:div>
                        <w:div w:id="1953048650">
                          <w:marLeft w:val="0"/>
                          <w:marRight w:val="0"/>
                          <w:marTop w:val="0"/>
                          <w:marBottom w:val="0"/>
                          <w:divBdr>
                            <w:top w:val="none" w:sz="0" w:space="0" w:color="auto"/>
                            <w:left w:val="none" w:sz="0" w:space="0" w:color="auto"/>
                            <w:bottom w:val="none" w:sz="0" w:space="0" w:color="auto"/>
                            <w:right w:val="none" w:sz="0" w:space="0" w:color="auto"/>
                          </w:divBdr>
                        </w:div>
                        <w:div w:id="851606232">
                          <w:marLeft w:val="0"/>
                          <w:marRight w:val="0"/>
                          <w:marTop w:val="0"/>
                          <w:marBottom w:val="0"/>
                          <w:divBdr>
                            <w:top w:val="none" w:sz="0" w:space="0" w:color="auto"/>
                            <w:left w:val="none" w:sz="0" w:space="0" w:color="auto"/>
                            <w:bottom w:val="none" w:sz="0" w:space="0" w:color="auto"/>
                            <w:right w:val="none" w:sz="0" w:space="0" w:color="auto"/>
                          </w:divBdr>
                        </w:div>
                        <w:div w:id="1702823885">
                          <w:marLeft w:val="0"/>
                          <w:marRight w:val="0"/>
                          <w:marTop w:val="0"/>
                          <w:marBottom w:val="0"/>
                          <w:divBdr>
                            <w:top w:val="none" w:sz="0" w:space="0" w:color="auto"/>
                            <w:left w:val="none" w:sz="0" w:space="0" w:color="auto"/>
                            <w:bottom w:val="none" w:sz="0" w:space="0" w:color="auto"/>
                            <w:right w:val="none" w:sz="0" w:space="0" w:color="auto"/>
                          </w:divBdr>
                        </w:div>
                        <w:div w:id="1053114895">
                          <w:marLeft w:val="0"/>
                          <w:marRight w:val="0"/>
                          <w:marTop w:val="0"/>
                          <w:marBottom w:val="0"/>
                          <w:divBdr>
                            <w:top w:val="none" w:sz="0" w:space="0" w:color="auto"/>
                            <w:left w:val="none" w:sz="0" w:space="0" w:color="auto"/>
                            <w:bottom w:val="none" w:sz="0" w:space="0" w:color="auto"/>
                            <w:right w:val="none" w:sz="0" w:space="0" w:color="auto"/>
                          </w:divBdr>
                        </w:div>
                        <w:div w:id="1333483626">
                          <w:marLeft w:val="0"/>
                          <w:marRight w:val="0"/>
                          <w:marTop w:val="0"/>
                          <w:marBottom w:val="0"/>
                          <w:divBdr>
                            <w:top w:val="none" w:sz="0" w:space="0" w:color="auto"/>
                            <w:left w:val="none" w:sz="0" w:space="0" w:color="auto"/>
                            <w:bottom w:val="none" w:sz="0" w:space="0" w:color="auto"/>
                            <w:right w:val="none" w:sz="0" w:space="0" w:color="auto"/>
                          </w:divBdr>
                        </w:div>
                        <w:div w:id="1905675833">
                          <w:marLeft w:val="0"/>
                          <w:marRight w:val="0"/>
                          <w:marTop w:val="0"/>
                          <w:marBottom w:val="0"/>
                          <w:divBdr>
                            <w:top w:val="none" w:sz="0" w:space="0" w:color="auto"/>
                            <w:left w:val="none" w:sz="0" w:space="0" w:color="auto"/>
                            <w:bottom w:val="none" w:sz="0" w:space="0" w:color="auto"/>
                            <w:right w:val="none" w:sz="0" w:space="0" w:color="auto"/>
                          </w:divBdr>
                        </w:div>
                        <w:div w:id="160433200">
                          <w:marLeft w:val="0"/>
                          <w:marRight w:val="0"/>
                          <w:marTop w:val="0"/>
                          <w:marBottom w:val="0"/>
                          <w:divBdr>
                            <w:top w:val="none" w:sz="0" w:space="0" w:color="auto"/>
                            <w:left w:val="none" w:sz="0" w:space="0" w:color="auto"/>
                            <w:bottom w:val="none" w:sz="0" w:space="0" w:color="auto"/>
                            <w:right w:val="none" w:sz="0" w:space="0" w:color="auto"/>
                          </w:divBdr>
                        </w:div>
                        <w:div w:id="588657480">
                          <w:marLeft w:val="0"/>
                          <w:marRight w:val="0"/>
                          <w:marTop w:val="0"/>
                          <w:marBottom w:val="0"/>
                          <w:divBdr>
                            <w:top w:val="none" w:sz="0" w:space="0" w:color="auto"/>
                            <w:left w:val="none" w:sz="0" w:space="0" w:color="auto"/>
                            <w:bottom w:val="none" w:sz="0" w:space="0" w:color="auto"/>
                            <w:right w:val="none" w:sz="0" w:space="0" w:color="auto"/>
                          </w:divBdr>
                        </w:div>
                        <w:div w:id="1798647861">
                          <w:marLeft w:val="0"/>
                          <w:marRight w:val="0"/>
                          <w:marTop w:val="0"/>
                          <w:marBottom w:val="0"/>
                          <w:divBdr>
                            <w:top w:val="none" w:sz="0" w:space="0" w:color="auto"/>
                            <w:left w:val="none" w:sz="0" w:space="0" w:color="auto"/>
                            <w:bottom w:val="none" w:sz="0" w:space="0" w:color="auto"/>
                            <w:right w:val="none" w:sz="0" w:space="0" w:color="auto"/>
                          </w:divBdr>
                        </w:div>
                        <w:div w:id="973407770">
                          <w:marLeft w:val="0"/>
                          <w:marRight w:val="0"/>
                          <w:marTop w:val="0"/>
                          <w:marBottom w:val="0"/>
                          <w:divBdr>
                            <w:top w:val="none" w:sz="0" w:space="0" w:color="auto"/>
                            <w:left w:val="none" w:sz="0" w:space="0" w:color="auto"/>
                            <w:bottom w:val="none" w:sz="0" w:space="0" w:color="auto"/>
                            <w:right w:val="none" w:sz="0" w:space="0" w:color="auto"/>
                          </w:divBdr>
                          <w:divsChild>
                            <w:div w:id="2000302766">
                              <w:marLeft w:val="0"/>
                              <w:marRight w:val="0"/>
                              <w:marTop w:val="0"/>
                              <w:marBottom w:val="0"/>
                              <w:divBdr>
                                <w:top w:val="none" w:sz="0" w:space="0" w:color="auto"/>
                                <w:left w:val="none" w:sz="0" w:space="0" w:color="auto"/>
                                <w:bottom w:val="none" w:sz="0" w:space="0" w:color="auto"/>
                                <w:right w:val="none" w:sz="0" w:space="0" w:color="auto"/>
                              </w:divBdr>
                            </w:div>
                            <w:div w:id="1124957316">
                              <w:marLeft w:val="0"/>
                              <w:marRight w:val="0"/>
                              <w:marTop w:val="0"/>
                              <w:marBottom w:val="0"/>
                              <w:divBdr>
                                <w:top w:val="none" w:sz="0" w:space="0" w:color="auto"/>
                                <w:left w:val="none" w:sz="0" w:space="0" w:color="auto"/>
                                <w:bottom w:val="none" w:sz="0" w:space="0" w:color="auto"/>
                                <w:right w:val="none" w:sz="0" w:space="0" w:color="auto"/>
                              </w:divBdr>
                            </w:div>
                            <w:div w:id="1990480248">
                              <w:marLeft w:val="0"/>
                              <w:marRight w:val="0"/>
                              <w:marTop w:val="0"/>
                              <w:marBottom w:val="0"/>
                              <w:divBdr>
                                <w:top w:val="none" w:sz="0" w:space="0" w:color="auto"/>
                                <w:left w:val="none" w:sz="0" w:space="0" w:color="auto"/>
                                <w:bottom w:val="none" w:sz="0" w:space="0" w:color="auto"/>
                                <w:right w:val="none" w:sz="0" w:space="0" w:color="auto"/>
                              </w:divBdr>
                            </w:div>
                            <w:div w:id="347603060">
                              <w:marLeft w:val="0"/>
                              <w:marRight w:val="0"/>
                              <w:marTop w:val="0"/>
                              <w:marBottom w:val="0"/>
                              <w:divBdr>
                                <w:top w:val="none" w:sz="0" w:space="0" w:color="auto"/>
                                <w:left w:val="none" w:sz="0" w:space="0" w:color="auto"/>
                                <w:bottom w:val="none" w:sz="0" w:space="0" w:color="auto"/>
                                <w:right w:val="none" w:sz="0" w:space="0" w:color="auto"/>
                              </w:divBdr>
                            </w:div>
                            <w:div w:id="2024555179">
                              <w:marLeft w:val="0"/>
                              <w:marRight w:val="0"/>
                              <w:marTop w:val="0"/>
                              <w:marBottom w:val="0"/>
                              <w:divBdr>
                                <w:top w:val="none" w:sz="0" w:space="0" w:color="auto"/>
                                <w:left w:val="none" w:sz="0" w:space="0" w:color="auto"/>
                                <w:bottom w:val="none" w:sz="0" w:space="0" w:color="auto"/>
                                <w:right w:val="none" w:sz="0" w:space="0" w:color="auto"/>
                              </w:divBdr>
                            </w:div>
                            <w:div w:id="1084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2.ed.gov/policy/elsec/guid/secletter/151007.html" TargetMode="External"/><Relationship Id="rId18" Type="http://schemas.openxmlformats.org/officeDocument/2006/relationships/hyperlink" Target="http://www2.ed.gov/policy/elsec/guid/secletter/151007.html" TargetMode="External"/><Relationship Id="rId26" Type="http://schemas.openxmlformats.org/officeDocument/2006/relationships/hyperlink" Target="http://www2.ed.gov/policy/elsec/guid/secletter/151007.html" TargetMode="External"/><Relationship Id="rId39" Type="http://schemas.openxmlformats.org/officeDocument/2006/relationships/theme" Target="theme/theme1.xml"/><Relationship Id="rId21" Type="http://schemas.openxmlformats.org/officeDocument/2006/relationships/hyperlink" Target="http://www2.ed.gov/policy/elsec/guid/secletter/151007.html" TargetMode="External"/><Relationship Id="rId34" Type="http://schemas.openxmlformats.org/officeDocument/2006/relationships/hyperlink" Target="http://www.justicepolicy.org/images/upload/07-08_rep_educationandpublicsafety_ps-ac.pdf" TargetMode="External"/><Relationship Id="rId42" Type="http://schemas.openxmlformats.org/officeDocument/2006/relationships/customXml" Target="../customXml/item3.xml"/><Relationship Id="rId7" Type="http://schemas.openxmlformats.org/officeDocument/2006/relationships/hyperlink" Target="http://www2.ed.gov/policy/elsec/guid/secletter/151007.html" TargetMode="External"/><Relationship Id="rId2" Type="http://schemas.microsoft.com/office/2007/relationships/stylesWithEffects" Target="stylesWithEffects.xml"/><Relationship Id="rId16" Type="http://schemas.openxmlformats.org/officeDocument/2006/relationships/hyperlink" Target="http://www2.ed.gov/policy/elsec/guid/secletter/151007.html" TargetMode="External"/><Relationship Id="rId20" Type="http://schemas.openxmlformats.org/officeDocument/2006/relationships/hyperlink" Target="http://www2.ed.gov/policy/elsec/guid/secletter/151007.html" TargetMode="External"/><Relationship Id="rId29" Type="http://schemas.openxmlformats.org/officeDocument/2006/relationships/hyperlink" Target="http://ies.ed.gov/ncee/wwc/interventionreport.aspx?sid=78" TargetMode="External"/><Relationship Id="rId41"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www2.ed.gov/policy/elsec/guid/secletter/151007.html" TargetMode="External"/><Relationship Id="rId11" Type="http://schemas.openxmlformats.org/officeDocument/2006/relationships/hyperlink" Target="http://www2.ed.gov/policy/elsec/guid/secletter/151007.html" TargetMode="External"/><Relationship Id="rId24" Type="http://schemas.openxmlformats.org/officeDocument/2006/relationships/hyperlink" Target="http://new.every1graduates.org/wp-content/uploads/2012/05/FINALChronicAbsenteeismReport_May16.pdf" TargetMode="External"/><Relationship Id="rId32" Type="http://schemas.openxmlformats.org/officeDocument/2006/relationships/hyperlink" Target="http://www.centernyc.org/betterpictureofpoverty/" TargetMode="External"/><Relationship Id="rId37" Type="http://schemas.openxmlformats.org/officeDocument/2006/relationships/hyperlink" Target="http://ies.ed.gov/ncee/edlabs" TargetMode="External"/><Relationship Id="rId40" Type="http://schemas.openxmlformats.org/officeDocument/2006/relationships/customXml" Target="../customXml/item1.xml"/><Relationship Id="rId5" Type="http://schemas.openxmlformats.org/officeDocument/2006/relationships/hyperlink" Target="http://www2.ed.gov/policy/elsec/guid/secletter/151007.html" TargetMode="External"/><Relationship Id="rId15" Type="http://schemas.openxmlformats.org/officeDocument/2006/relationships/hyperlink" Target="http://www2.ed.gov/policy/elsec/guid/secletter/151007.html" TargetMode="External"/><Relationship Id="rId23" Type="http://schemas.openxmlformats.org/officeDocument/2006/relationships/hyperlink" Target="http://eric.ed.gov/?id=ED521686" TargetMode="External"/><Relationship Id="rId28" Type="http://schemas.openxmlformats.org/officeDocument/2006/relationships/hyperlink" Target="http://csgjusticecenter.org/youth/school-discipline-consensus-report/" TargetMode="External"/><Relationship Id="rId36" Type="http://schemas.openxmlformats.org/officeDocument/2006/relationships/hyperlink" Target="http://www.attendanceworks.org/wordpress/wp-content/uploads/2010/04/ASR-Mini-Report-Attendance-Readiness-and-Third-Grade-Outcomes-7-8-11.pdf" TargetMode="External"/><Relationship Id="rId10" Type="http://schemas.openxmlformats.org/officeDocument/2006/relationships/hyperlink" Target="http://www2.ed.gov/policy/elsec/guid/secletter/151007.html" TargetMode="External"/><Relationship Id="rId19" Type="http://schemas.openxmlformats.org/officeDocument/2006/relationships/hyperlink" Target="http://www2.ed.gov/policy/elsec/guid/secletter/151007.html" TargetMode="External"/><Relationship Id="rId31" Type="http://schemas.openxmlformats.org/officeDocument/2006/relationships/hyperlink" Target="http://www.utahdataalliance.org/downloads/ChronicAbsenteeismResearchBrief.pdf" TargetMode="External"/><Relationship Id="rId4" Type="http://schemas.openxmlformats.org/officeDocument/2006/relationships/webSettings" Target="webSettings.xml"/><Relationship Id="rId9" Type="http://schemas.openxmlformats.org/officeDocument/2006/relationships/hyperlink" Target="http://www2.ed.gov/policy/elsec/guid/secletter/151007.html" TargetMode="External"/><Relationship Id="rId14" Type="http://schemas.openxmlformats.org/officeDocument/2006/relationships/hyperlink" Target="http://www2.ed.gov/policy/elsec/guid/secletter/151007.html" TargetMode="External"/><Relationship Id="rId22" Type="http://schemas.openxmlformats.org/officeDocument/2006/relationships/hyperlink" Target="http://www2.ed.gov/policy/elsec/guid/secletter/151007.html" TargetMode="External"/><Relationship Id="rId27" Type="http://schemas.openxmlformats.org/officeDocument/2006/relationships/hyperlink" Target="http://www.pbis.org/" TargetMode="External"/><Relationship Id="rId30" Type="http://schemas.openxmlformats.org/officeDocument/2006/relationships/hyperlink" Target="https://ccsr.uchicago.edu/publications/preschool-attendance-chicago-public-schools-relationships-learning-outcomes-and-reasons" TargetMode="External"/><Relationship Id="rId35" Type="http://schemas.openxmlformats.org/officeDocument/2006/relationships/hyperlink" Target="http://www.attendanceworks.org/wordpress/wp-content/uploads/2010/04/ChronicAbsence.pdf" TargetMode="External"/><Relationship Id="rId8" Type="http://schemas.openxmlformats.org/officeDocument/2006/relationships/hyperlink" Target="http://www2.ed.gov/about/inits/ed/chronicabsenteeism/index.html" TargetMode="External"/><Relationship Id="rId3" Type="http://schemas.openxmlformats.org/officeDocument/2006/relationships/settings" Target="settings.xml"/><Relationship Id="rId12" Type="http://schemas.openxmlformats.org/officeDocument/2006/relationships/hyperlink" Target="http://www2.ed.gov/policy/elsec/guid/secletter/151007.html" TargetMode="External"/><Relationship Id="rId17" Type="http://schemas.openxmlformats.org/officeDocument/2006/relationships/hyperlink" Target="http://www2.ed.gov/policy/elsec/guid/secletter/151007.html" TargetMode="External"/><Relationship Id="rId25" Type="http://schemas.openxmlformats.org/officeDocument/2006/relationships/hyperlink" Target="http://www2.ed.gov/policy/gen/guid/fpco/doc/ferpa-and-community-based-orgs.pdf" TargetMode="External"/><Relationship Id="rId33" Type="http://schemas.openxmlformats.org/officeDocument/2006/relationships/hyperlink" Target="http://www.econ.ucla.edu/alleras/research/books/Education_and_Health_July_2006.pdf" TargetMode="Externa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8F3751-9291-4253-A284-B5A26BAD3A88}"/>
</file>

<file path=customXml/itemProps2.xml><?xml version="1.0" encoding="utf-8"?>
<ds:datastoreItem xmlns:ds="http://schemas.openxmlformats.org/officeDocument/2006/customXml" ds:itemID="{89AE8547-D63F-4A99-B1D3-4F6138316E2D}"/>
</file>

<file path=customXml/itemProps3.xml><?xml version="1.0" encoding="utf-8"?>
<ds:datastoreItem xmlns:ds="http://schemas.openxmlformats.org/officeDocument/2006/customXml" ds:itemID="{DE4B9057-FF03-4ACF-AD57-2B046DCAFA28}"/>
</file>

<file path=docProps/app.xml><?xml version="1.0" encoding="utf-8"?>
<Properties xmlns="http://schemas.openxmlformats.org/officeDocument/2006/extended-properties" xmlns:vt="http://schemas.openxmlformats.org/officeDocument/2006/docPropsVTypes">
  <Template>Normal.dotm</Template>
  <TotalTime>0</TotalTime>
  <Pages>3</Pages>
  <Words>2412</Words>
  <Characters>13753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PA Department of Education</Company>
  <LinksUpToDate>false</LinksUpToDate>
  <CharactersWithSpaces>16133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Policy Letters Signed by the Education Secretary or Deputy Secretary</dc:title>
  <dc:creator>Kozup, Michael</dc:creator>
  <cp:lastModifiedBy>pdeadmin</cp:lastModifiedBy>
  <cp:revision>2</cp:revision>
  <dcterms:created xsi:type="dcterms:W3CDTF">2015-10-15T17:24:00Z</dcterms:created>
  <dcterms:modified xsi:type="dcterms:W3CDTF">2015-10-15T17:24:00Z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