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ACA61" w14:textId="18CC3512" w:rsidR="004C569C" w:rsidRPr="004C569C" w:rsidRDefault="004C569C" w:rsidP="004C569C">
      <w:pPr>
        <w:pStyle w:val="Title"/>
        <w:pBdr>
          <w:bottom w:val="single" w:sz="4" w:space="1" w:color="auto"/>
        </w:pBdr>
        <w:jc w:val="center"/>
        <w:rPr>
          <w:rFonts w:ascii="Arial" w:hAnsi="Arial" w:cs="Arial"/>
          <w:b w:val="0"/>
          <w:bCs/>
          <w:sz w:val="52"/>
          <w:szCs w:val="52"/>
        </w:rPr>
      </w:pPr>
      <w:r>
        <w:rPr>
          <w:rFonts w:ascii="Arial" w:hAnsi="Arial" w:cs="Arial"/>
          <w:b w:val="0"/>
          <w:bCs/>
          <w:sz w:val="52"/>
          <w:szCs w:val="52"/>
        </w:rPr>
        <w:t>Meeting Agenda/Minutes</w:t>
      </w:r>
      <w:r>
        <w:rPr>
          <w:rFonts w:ascii="Arial" w:hAnsi="Arial" w:cs="Arial"/>
          <w:b w:val="0"/>
          <w:bCs/>
          <w:sz w:val="52"/>
          <w:szCs w:val="52"/>
        </w:rPr>
        <w:br/>
      </w:r>
      <w:r w:rsidRPr="004C569C">
        <w:rPr>
          <w:rFonts w:ascii="Arial" w:hAnsi="Arial" w:cs="Arial"/>
          <w:b w:val="0"/>
          <w:bCs/>
          <w:sz w:val="40"/>
          <w:szCs w:val="40"/>
        </w:rPr>
        <w:t>90 Minute Weekly Status Meeting</w:t>
      </w:r>
    </w:p>
    <w:p w14:paraId="6BD2A77B" w14:textId="6D1CBC97" w:rsidR="004C569C" w:rsidRDefault="004C569C" w:rsidP="004C569C">
      <w:pPr>
        <w:pStyle w:val="Subtitle"/>
        <w:jc w:val="center"/>
        <w:rPr>
          <w:rFonts w:ascii="Arial" w:eastAsia="Lato" w:hAnsi="Arial" w:cs="Arial"/>
          <w:bCs/>
          <w:color w:val="auto"/>
          <w:sz w:val="24"/>
          <w:szCs w:val="24"/>
        </w:rPr>
      </w:pPr>
      <w:r w:rsidRPr="004C569C">
        <w:rPr>
          <w:rFonts w:ascii="Arial" w:hAnsi="Arial" w:cs="Arial"/>
          <w:b/>
          <w:bCs/>
          <w:color w:val="auto"/>
          <w:sz w:val="24"/>
          <w:szCs w:val="24"/>
        </w:rPr>
        <w:t>Toolkit Section</w:t>
      </w:r>
      <w:r w:rsidRPr="004C569C">
        <w:rPr>
          <w:rFonts w:ascii="Arial" w:hAnsi="Arial" w:cs="Arial"/>
          <w:color w:val="auto"/>
          <w:sz w:val="24"/>
          <w:szCs w:val="24"/>
        </w:rPr>
        <w:t xml:space="preserve">: </w:t>
      </w:r>
      <w:r>
        <w:rPr>
          <w:rFonts w:ascii="Arial" w:eastAsia="Lato" w:hAnsi="Arial" w:cs="Arial"/>
          <w:bCs/>
          <w:color w:val="auto"/>
          <w:sz w:val="24"/>
          <w:szCs w:val="24"/>
        </w:rPr>
        <w:t>Monitor Implementation and Impact</w:t>
      </w:r>
    </w:p>
    <w:p w14:paraId="027BF0E2" w14:textId="77777777" w:rsidR="004C569C" w:rsidRPr="004C569C" w:rsidRDefault="004C569C" w:rsidP="004C569C"/>
    <w:p w14:paraId="2F20A168" w14:textId="77777777" w:rsidR="001759FA" w:rsidRPr="004C569C" w:rsidRDefault="002E7E23">
      <w:pPr>
        <w:numPr>
          <w:ilvl w:val="0"/>
          <w:numId w:val="1"/>
        </w:numPr>
        <w:pBdr>
          <w:top w:val="nil"/>
          <w:left w:val="nil"/>
          <w:bottom w:val="nil"/>
          <w:right w:val="nil"/>
          <w:between w:val="nil"/>
        </w:pBdr>
        <w:rPr>
          <w:rFonts w:ascii="Arial" w:eastAsia="Lato" w:hAnsi="Arial" w:cs="Arial"/>
          <w:b/>
          <w:color w:val="000000"/>
        </w:rPr>
      </w:pPr>
      <w:r w:rsidRPr="004C569C">
        <w:rPr>
          <w:rFonts w:ascii="Arial" w:eastAsia="Lato" w:hAnsi="Arial" w:cs="Arial"/>
          <w:b/>
          <w:color w:val="000000"/>
        </w:rPr>
        <w:t>General Information</w:t>
      </w:r>
    </w:p>
    <w:tbl>
      <w:tblPr>
        <w:tblStyle w:val="a"/>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790"/>
        <w:gridCol w:w="1440"/>
        <w:gridCol w:w="2785"/>
      </w:tblGrid>
      <w:tr w:rsidR="001759FA" w:rsidRPr="004C569C" w14:paraId="2459E631" w14:textId="77777777" w:rsidTr="004C569C">
        <w:tc>
          <w:tcPr>
            <w:tcW w:w="1615" w:type="dxa"/>
            <w:shd w:val="clear" w:color="auto" w:fill="DEEAF6" w:themeFill="accent1" w:themeFillTint="33"/>
          </w:tcPr>
          <w:p w14:paraId="11DCD7A5" w14:textId="77777777" w:rsidR="001759FA" w:rsidRPr="004C569C" w:rsidRDefault="002E7E23">
            <w:pPr>
              <w:jc w:val="center"/>
              <w:rPr>
                <w:rFonts w:ascii="Arial" w:eastAsia="Lato" w:hAnsi="Arial" w:cs="Arial"/>
                <w:b/>
              </w:rPr>
            </w:pPr>
            <w:r w:rsidRPr="004C569C">
              <w:rPr>
                <w:rFonts w:ascii="Arial" w:eastAsia="Lato" w:hAnsi="Arial" w:cs="Arial"/>
                <w:b/>
              </w:rPr>
              <w:t>Meeting Name</w:t>
            </w:r>
          </w:p>
        </w:tc>
        <w:tc>
          <w:tcPr>
            <w:tcW w:w="2790" w:type="dxa"/>
          </w:tcPr>
          <w:p w14:paraId="604985A5" w14:textId="77777777" w:rsidR="001759FA" w:rsidRPr="004C569C" w:rsidRDefault="001759FA">
            <w:pPr>
              <w:rPr>
                <w:rFonts w:ascii="Arial" w:eastAsia="Lato" w:hAnsi="Arial" w:cs="Arial"/>
              </w:rPr>
            </w:pPr>
          </w:p>
        </w:tc>
        <w:tc>
          <w:tcPr>
            <w:tcW w:w="1440" w:type="dxa"/>
            <w:shd w:val="clear" w:color="auto" w:fill="DEEAF6" w:themeFill="accent1" w:themeFillTint="33"/>
          </w:tcPr>
          <w:p w14:paraId="7F98E753" w14:textId="77777777" w:rsidR="001759FA" w:rsidRPr="004C569C" w:rsidRDefault="002E7E23">
            <w:pPr>
              <w:jc w:val="center"/>
              <w:rPr>
                <w:rFonts w:ascii="Arial" w:eastAsia="Lato" w:hAnsi="Arial" w:cs="Arial"/>
                <w:b/>
              </w:rPr>
            </w:pPr>
            <w:r w:rsidRPr="004C569C">
              <w:rPr>
                <w:rFonts w:ascii="Arial" w:eastAsia="Lato" w:hAnsi="Arial" w:cs="Arial"/>
                <w:b/>
              </w:rPr>
              <w:t>Date &amp; Time</w:t>
            </w:r>
          </w:p>
        </w:tc>
        <w:tc>
          <w:tcPr>
            <w:tcW w:w="2785" w:type="dxa"/>
          </w:tcPr>
          <w:p w14:paraId="27EF59EF" w14:textId="77777777" w:rsidR="001759FA" w:rsidRPr="004C569C" w:rsidRDefault="001759FA">
            <w:pPr>
              <w:rPr>
                <w:rFonts w:ascii="Arial" w:eastAsia="Lato" w:hAnsi="Arial" w:cs="Arial"/>
              </w:rPr>
            </w:pPr>
          </w:p>
        </w:tc>
      </w:tr>
      <w:tr w:rsidR="001759FA" w:rsidRPr="004C569C" w14:paraId="6429A132" w14:textId="77777777" w:rsidTr="004C569C">
        <w:tc>
          <w:tcPr>
            <w:tcW w:w="1615" w:type="dxa"/>
            <w:shd w:val="clear" w:color="auto" w:fill="DEEAF6" w:themeFill="accent1" w:themeFillTint="33"/>
          </w:tcPr>
          <w:p w14:paraId="27E09A67" w14:textId="77777777" w:rsidR="001759FA" w:rsidRPr="004C569C" w:rsidRDefault="002E7E23">
            <w:pPr>
              <w:jc w:val="center"/>
              <w:rPr>
                <w:rFonts w:ascii="Arial" w:eastAsia="Lato" w:hAnsi="Arial" w:cs="Arial"/>
                <w:b/>
              </w:rPr>
            </w:pPr>
            <w:r w:rsidRPr="004C569C">
              <w:rPr>
                <w:rFonts w:ascii="Arial" w:eastAsia="Lato" w:hAnsi="Arial" w:cs="Arial"/>
                <w:b/>
              </w:rPr>
              <w:t>Facilitator</w:t>
            </w:r>
          </w:p>
        </w:tc>
        <w:tc>
          <w:tcPr>
            <w:tcW w:w="2790" w:type="dxa"/>
          </w:tcPr>
          <w:p w14:paraId="6E902886" w14:textId="77777777" w:rsidR="001759FA" w:rsidRPr="004C569C" w:rsidRDefault="001759FA">
            <w:pPr>
              <w:rPr>
                <w:rFonts w:ascii="Arial" w:eastAsia="Lato" w:hAnsi="Arial" w:cs="Arial"/>
              </w:rPr>
            </w:pPr>
          </w:p>
        </w:tc>
        <w:tc>
          <w:tcPr>
            <w:tcW w:w="1440" w:type="dxa"/>
            <w:shd w:val="clear" w:color="auto" w:fill="DEEAF6" w:themeFill="accent1" w:themeFillTint="33"/>
          </w:tcPr>
          <w:p w14:paraId="2B6F84FB" w14:textId="77777777" w:rsidR="001759FA" w:rsidRPr="004C569C" w:rsidRDefault="002E7E23">
            <w:pPr>
              <w:jc w:val="center"/>
              <w:rPr>
                <w:rFonts w:ascii="Arial" w:eastAsia="Lato" w:hAnsi="Arial" w:cs="Arial"/>
                <w:b/>
              </w:rPr>
            </w:pPr>
            <w:r w:rsidRPr="004C569C">
              <w:rPr>
                <w:rFonts w:ascii="Arial" w:eastAsia="Lato" w:hAnsi="Arial" w:cs="Arial"/>
                <w:b/>
              </w:rPr>
              <w:t>Recorder</w:t>
            </w:r>
          </w:p>
        </w:tc>
        <w:tc>
          <w:tcPr>
            <w:tcW w:w="2785" w:type="dxa"/>
          </w:tcPr>
          <w:p w14:paraId="704D6507" w14:textId="77777777" w:rsidR="001759FA" w:rsidRPr="004C569C" w:rsidRDefault="001759FA">
            <w:pPr>
              <w:rPr>
                <w:rFonts w:ascii="Arial" w:eastAsia="Lato" w:hAnsi="Arial" w:cs="Arial"/>
              </w:rPr>
            </w:pPr>
          </w:p>
        </w:tc>
      </w:tr>
      <w:tr w:rsidR="001759FA" w:rsidRPr="004C569C" w14:paraId="33A19EDC" w14:textId="77777777" w:rsidTr="004C569C">
        <w:tc>
          <w:tcPr>
            <w:tcW w:w="1615" w:type="dxa"/>
            <w:shd w:val="clear" w:color="auto" w:fill="DEEAF6" w:themeFill="accent1" w:themeFillTint="33"/>
          </w:tcPr>
          <w:p w14:paraId="2C19EB7C" w14:textId="77777777" w:rsidR="001759FA" w:rsidRPr="004C569C" w:rsidRDefault="002E7E23">
            <w:pPr>
              <w:jc w:val="center"/>
              <w:rPr>
                <w:rFonts w:ascii="Arial" w:eastAsia="Lato" w:hAnsi="Arial" w:cs="Arial"/>
                <w:b/>
              </w:rPr>
            </w:pPr>
            <w:r w:rsidRPr="004C569C">
              <w:rPr>
                <w:rFonts w:ascii="Arial" w:eastAsia="Lato" w:hAnsi="Arial" w:cs="Arial"/>
                <w:b/>
              </w:rPr>
              <w:t>Attendees</w:t>
            </w:r>
          </w:p>
        </w:tc>
        <w:tc>
          <w:tcPr>
            <w:tcW w:w="7015" w:type="dxa"/>
            <w:gridSpan w:val="3"/>
          </w:tcPr>
          <w:p w14:paraId="796BB23C" w14:textId="77777777" w:rsidR="001759FA" w:rsidRPr="004C569C" w:rsidRDefault="001759FA">
            <w:pPr>
              <w:rPr>
                <w:rFonts w:ascii="Arial" w:eastAsia="Lato" w:hAnsi="Arial" w:cs="Arial"/>
              </w:rPr>
            </w:pPr>
          </w:p>
        </w:tc>
      </w:tr>
    </w:tbl>
    <w:p w14:paraId="5A582986" w14:textId="77777777" w:rsidR="001759FA" w:rsidRPr="004C569C" w:rsidRDefault="001759FA">
      <w:pPr>
        <w:rPr>
          <w:rFonts w:ascii="Arial" w:eastAsia="Lato" w:hAnsi="Arial" w:cs="Arial"/>
          <w:b/>
        </w:rPr>
      </w:pPr>
    </w:p>
    <w:p w14:paraId="033DDE16" w14:textId="77777777" w:rsidR="001759FA" w:rsidRPr="004C569C" w:rsidRDefault="002E7E23">
      <w:pPr>
        <w:numPr>
          <w:ilvl w:val="0"/>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b/>
          <w:color w:val="000000"/>
        </w:rPr>
        <w:t>Pre-Work</w:t>
      </w:r>
    </w:p>
    <w:p w14:paraId="777DB4C0" w14:textId="77777777" w:rsidR="001759FA" w:rsidRPr="004C569C" w:rsidRDefault="002E7E23" w:rsidP="000055F5">
      <w:pPr>
        <w:numPr>
          <w:ilvl w:val="0"/>
          <w:numId w:val="6"/>
        </w:numPr>
        <w:pBdr>
          <w:top w:val="nil"/>
          <w:left w:val="nil"/>
          <w:bottom w:val="nil"/>
          <w:right w:val="nil"/>
          <w:between w:val="nil"/>
        </w:pBdr>
        <w:spacing w:after="0"/>
        <w:rPr>
          <w:rFonts w:ascii="Arial" w:eastAsia="Lato" w:hAnsi="Arial" w:cs="Arial"/>
        </w:rPr>
      </w:pPr>
      <w:r w:rsidRPr="004C569C">
        <w:rPr>
          <w:rFonts w:ascii="Arial" w:eastAsia="Lato" w:hAnsi="Arial" w:cs="Arial"/>
          <w:color w:val="000000"/>
        </w:rPr>
        <w:t>All attendees and team members should update Critical Readiness Factor Action Tracker no fewer than 24 hours prior to the meeting.</w:t>
      </w:r>
    </w:p>
    <w:p w14:paraId="2C8C23E3" w14:textId="77777777" w:rsidR="001759FA" w:rsidRPr="004C569C" w:rsidRDefault="002E7E23" w:rsidP="000055F5">
      <w:pPr>
        <w:numPr>
          <w:ilvl w:val="0"/>
          <w:numId w:val="6"/>
        </w:numPr>
        <w:pBdr>
          <w:top w:val="nil"/>
          <w:left w:val="nil"/>
          <w:bottom w:val="nil"/>
          <w:right w:val="nil"/>
          <w:between w:val="nil"/>
        </w:pBdr>
        <w:spacing w:after="0"/>
        <w:rPr>
          <w:rFonts w:ascii="Arial" w:eastAsia="Lato" w:hAnsi="Arial" w:cs="Arial"/>
        </w:rPr>
      </w:pPr>
      <w:r w:rsidRPr="004C569C">
        <w:rPr>
          <w:rFonts w:ascii="Arial" w:eastAsia="Lato" w:hAnsi="Arial" w:cs="Arial"/>
          <w:color w:val="000000"/>
        </w:rPr>
        <w:t>Meeting facilitator should send out a link to the updated tracker and all attendees should review the entire tracker prior to the meeting, with a specific focus on items listed as in need of discussion or off track.</w:t>
      </w:r>
    </w:p>
    <w:p w14:paraId="174988DE" w14:textId="77777777" w:rsidR="001759FA" w:rsidRPr="004C569C" w:rsidRDefault="002E7E23" w:rsidP="000055F5">
      <w:pPr>
        <w:numPr>
          <w:ilvl w:val="0"/>
          <w:numId w:val="6"/>
        </w:numPr>
        <w:pBdr>
          <w:top w:val="nil"/>
          <w:left w:val="nil"/>
          <w:bottom w:val="nil"/>
          <w:right w:val="nil"/>
          <w:between w:val="nil"/>
        </w:pBdr>
        <w:spacing w:after="0"/>
        <w:rPr>
          <w:rFonts w:ascii="Arial" w:eastAsia="Lato" w:hAnsi="Arial" w:cs="Arial"/>
        </w:rPr>
      </w:pPr>
      <w:r w:rsidRPr="004C569C">
        <w:rPr>
          <w:rFonts w:ascii="Arial" w:eastAsia="Lato" w:hAnsi="Arial" w:cs="Arial"/>
          <w:color w:val="000000"/>
        </w:rPr>
        <w:t>Any materials to be discussed during the meeting should be sent to all attendees at least 24 hours prior to the meeting.</w:t>
      </w:r>
    </w:p>
    <w:p w14:paraId="7B147879" w14:textId="77777777" w:rsidR="001759FA" w:rsidRPr="004C569C" w:rsidRDefault="001759FA">
      <w:pPr>
        <w:rPr>
          <w:rFonts w:ascii="Arial" w:eastAsia="Lato" w:hAnsi="Arial" w:cs="Arial"/>
          <w:b/>
        </w:rPr>
      </w:pPr>
    </w:p>
    <w:p w14:paraId="5B5EB344" w14:textId="77777777" w:rsidR="001759FA" w:rsidRPr="004C569C" w:rsidRDefault="002E7E23">
      <w:pPr>
        <w:numPr>
          <w:ilvl w:val="0"/>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b/>
          <w:color w:val="000000"/>
        </w:rPr>
        <w:t>Agenda (Revised Pre-Meeting)</w:t>
      </w:r>
    </w:p>
    <w:p w14:paraId="76F5D584" w14:textId="40B2E844" w:rsidR="001C6B96" w:rsidRPr="00840447" w:rsidRDefault="002E7E23" w:rsidP="00840447">
      <w:pPr>
        <w:pStyle w:val="ListParagraph"/>
        <w:numPr>
          <w:ilvl w:val="0"/>
          <w:numId w:val="3"/>
        </w:numPr>
        <w:pBdr>
          <w:top w:val="nil"/>
          <w:left w:val="nil"/>
          <w:bottom w:val="nil"/>
          <w:right w:val="nil"/>
          <w:between w:val="nil"/>
        </w:pBdr>
        <w:spacing w:after="0"/>
        <w:rPr>
          <w:rFonts w:ascii="Arial" w:eastAsia="Lato" w:hAnsi="Arial" w:cs="Arial"/>
          <w:color w:val="000000"/>
        </w:rPr>
      </w:pPr>
      <w:r w:rsidRPr="00840447">
        <w:rPr>
          <w:rFonts w:ascii="Arial" w:eastAsia="Lato" w:hAnsi="Arial" w:cs="Arial"/>
          <w:color w:val="000000"/>
        </w:rPr>
        <w:t>Activator/Whip-Around (3 minutes)</w:t>
      </w:r>
      <w:r w:rsidR="00DC4E38" w:rsidRPr="00840447">
        <w:rPr>
          <w:rFonts w:ascii="Arial" w:eastAsia="Lato" w:hAnsi="Arial" w:cs="Arial"/>
          <w:color w:val="000000"/>
        </w:rPr>
        <w:t xml:space="preserve"> </w:t>
      </w:r>
      <w:r w:rsidR="00DC4E38" w:rsidRPr="00840447">
        <w:rPr>
          <w:rFonts w:ascii="Arial" w:eastAsia="Lato" w:hAnsi="Arial" w:cs="Arial"/>
          <w:i/>
          <w:iCs/>
          <w:color w:val="000000"/>
        </w:rPr>
        <w:t xml:space="preserve">- </w:t>
      </w:r>
      <w:bookmarkStart w:id="0" w:name="_Hlk46392228"/>
      <w:r w:rsidR="00512BC1" w:rsidRPr="001C6B96">
        <w:rPr>
          <w:rStyle w:val="normaltextrun"/>
          <w:rFonts w:ascii="Arial" w:hAnsi="Arial" w:cs="Arial"/>
          <w:color w:val="000000"/>
          <w:shd w:val="clear" w:color="auto" w:fill="FFFFFF"/>
        </w:rPr>
        <w:t xml:space="preserve">Consider using a check-in activity to assess a team’s status (e.g. thumb up, down, or middle). Checking the pulse of the group in times of high stress can reduce stress levels of the team, facilitate feelings of unity, and enhance productivity.  </w:t>
      </w:r>
      <w:r w:rsidR="00DC4E38" w:rsidRPr="00840447">
        <w:rPr>
          <w:rFonts w:ascii="Arial" w:eastAsia="Lato" w:hAnsi="Arial" w:cs="Arial"/>
          <w:color w:val="000000"/>
        </w:rPr>
        <w:t xml:space="preserve">Staff wellness will be an essential cornerstone of the reopening process and paramount to offering an equitable educational experience for all. In the event that team members are demonstrating a need for wellness support, consult the </w:t>
      </w:r>
      <w:hyperlink r:id="rId8" w:history="1">
        <w:r w:rsidR="00DC4E38" w:rsidRPr="00840447">
          <w:rPr>
            <w:rStyle w:val="Hyperlink"/>
            <w:rFonts w:ascii="Arial" w:eastAsia="Lato" w:hAnsi="Arial" w:cs="Arial"/>
          </w:rPr>
          <w:t>Student and Staff Wellness Guide</w:t>
        </w:r>
      </w:hyperlink>
      <w:r w:rsidR="00DC4E38" w:rsidRPr="00840447">
        <w:rPr>
          <w:rFonts w:ascii="Arial" w:eastAsia="Lato" w:hAnsi="Arial" w:cs="Arial"/>
          <w:color w:val="000000"/>
        </w:rPr>
        <w:t xml:space="preserve"> for strategies or activities that can be utilized to support staff as needed before moving on with the planned agenda.</w:t>
      </w:r>
      <w:bookmarkEnd w:id="0"/>
    </w:p>
    <w:p w14:paraId="12F0CDFF" w14:textId="77777777" w:rsidR="001759FA" w:rsidRPr="001C6B96" w:rsidRDefault="002E7E23" w:rsidP="001C6B96">
      <w:pPr>
        <w:pStyle w:val="ListParagraph"/>
        <w:numPr>
          <w:ilvl w:val="0"/>
          <w:numId w:val="3"/>
        </w:numPr>
        <w:pBdr>
          <w:top w:val="nil"/>
          <w:left w:val="nil"/>
          <w:bottom w:val="nil"/>
          <w:right w:val="nil"/>
          <w:between w:val="nil"/>
        </w:pBdr>
        <w:spacing w:after="0"/>
        <w:rPr>
          <w:rFonts w:ascii="Arial" w:eastAsia="Lato" w:hAnsi="Arial" w:cs="Arial"/>
          <w:color w:val="000000"/>
        </w:rPr>
      </w:pPr>
      <w:r w:rsidRPr="001C6B96">
        <w:rPr>
          <w:rFonts w:ascii="Arial" w:eastAsia="Lato" w:hAnsi="Arial" w:cs="Arial"/>
          <w:color w:val="000000"/>
        </w:rPr>
        <w:t>Review New Guidance/Communication from State or Local Agencies (5 minutes)</w:t>
      </w:r>
    </w:p>
    <w:p w14:paraId="3B1B7DA3" w14:textId="77777777" w:rsidR="001759FA" w:rsidRPr="001C6B96" w:rsidRDefault="002E7E23" w:rsidP="001C6B96">
      <w:pPr>
        <w:pStyle w:val="ListParagraph"/>
        <w:numPr>
          <w:ilvl w:val="0"/>
          <w:numId w:val="3"/>
        </w:numPr>
        <w:pBdr>
          <w:top w:val="nil"/>
          <w:left w:val="nil"/>
          <w:bottom w:val="nil"/>
          <w:right w:val="nil"/>
          <w:between w:val="nil"/>
        </w:pBdr>
        <w:spacing w:after="0"/>
        <w:rPr>
          <w:rFonts w:ascii="Arial" w:eastAsia="Lato" w:hAnsi="Arial" w:cs="Arial"/>
          <w:color w:val="000000"/>
        </w:rPr>
      </w:pPr>
      <w:r w:rsidRPr="001C6B96">
        <w:rPr>
          <w:rFonts w:ascii="Arial" w:eastAsia="Lato" w:hAnsi="Arial" w:cs="Arial"/>
          <w:color w:val="000000"/>
        </w:rPr>
        <w:t>Discussion of Critical Readiness Factors (70 minutes)</w:t>
      </w:r>
    </w:p>
    <w:p w14:paraId="6D6546B4" w14:textId="49E82E84" w:rsidR="000055F5" w:rsidRDefault="002E7E23" w:rsidP="00840447">
      <w:pPr>
        <w:pStyle w:val="ListParagraph"/>
        <w:numPr>
          <w:ilvl w:val="1"/>
          <w:numId w:val="3"/>
        </w:numPr>
        <w:pBdr>
          <w:top w:val="nil"/>
          <w:left w:val="nil"/>
          <w:bottom w:val="nil"/>
          <w:right w:val="nil"/>
          <w:between w:val="nil"/>
        </w:pBdr>
        <w:spacing w:after="0"/>
        <w:rPr>
          <w:rFonts w:ascii="Arial" w:eastAsia="Lato" w:hAnsi="Arial" w:cs="Arial"/>
          <w:color w:val="000000"/>
        </w:rPr>
      </w:pPr>
      <w:r w:rsidRPr="000055F5">
        <w:rPr>
          <w:rFonts w:ascii="Arial" w:eastAsia="Lato" w:hAnsi="Arial" w:cs="Arial"/>
          <w:color w:val="000000"/>
        </w:rPr>
        <w:t>Each factor should be discussed for 10 minutes</w:t>
      </w:r>
      <w:r w:rsidR="000055F5">
        <w:rPr>
          <w:rFonts w:ascii="Arial" w:eastAsia="Lato" w:hAnsi="Arial" w:cs="Arial"/>
          <w:color w:val="000000"/>
        </w:rPr>
        <w:t>:</w:t>
      </w:r>
    </w:p>
    <w:p w14:paraId="778334EF" w14:textId="2650309A" w:rsidR="001759FA" w:rsidRPr="000055F5" w:rsidRDefault="002E7E23" w:rsidP="00840447">
      <w:pPr>
        <w:pStyle w:val="ListParagraph"/>
        <w:numPr>
          <w:ilvl w:val="1"/>
          <w:numId w:val="3"/>
        </w:numPr>
        <w:pBdr>
          <w:top w:val="nil"/>
          <w:left w:val="nil"/>
          <w:bottom w:val="nil"/>
          <w:right w:val="nil"/>
          <w:between w:val="nil"/>
        </w:pBdr>
        <w:spacing w:after="0"/>
        <w:rPr>
          <w:rFonts w:ascii="Arial" w:eastAsia="Lato" w:hAnsi="Arial" w:cs="Arial"/>
          <w:color w:val="000000"/>
        </w:rPr>
      </w:pPr>
      <w:r w:rsidRPr="000055F5">
        <w:rPr>
          <w:rFonts w:ascii="Arial" w:eastAsia="Lato" w:hAnsi="Arial" w:cs="Arial"/>
          <w:color w:val="000000"/>
        </w:rPr>
        <w:t>Share-out from those working in the area for 5 minutes</w:t>
      </w:r>
    </w:p>
    <w:p w14:paraId="7F92BAF1" w14:textId="77777777" w:rsidR="001759FA" w:rsidRPr="001C6B96" w:rsidRDefault="002E7E23" w:rsidP="001C6B96">
      <w:pPr>
        <w:pStyle w:val="ListParagraph"/>
        <w:numPr>
          <w:ilvl w:val="0"/>
          <w:numId w:val="4"/>
        </w:numPr>
        <w:pBdr>
          <w:top w:val="nil"/>
          <w:left w:val="nil"/>
          <w:bottom w:val="nil"/>
          <w:right w:val="nil"/>
          <w:between w:val="nil"/>
        </w:pBdr>
        <w:spacing w:after="0"/>
        <w:rPr>
          <w:rFonts w:ascii="Arial" w:eastAsia="Lato" w:hAnsi="Arial" w:cs="Arial"/>
          <w:color w:val="000000"/>
        </w:rPr>
      </w:pPr>
      <w:r w:rsidRPr="001C6B96">
        <w:rPr>
          <w:rFonts w:ascii="Arial" w:eastAsia="Lato" w:hAnsi="Arial" w:cs="Arial"/>
          <w:color w:val="000000"/>
        </w:rPr>
        <w:t>Discuss items in Action Tracker tagged for discussion or listed as off track</w:t>
      </w:r>
    </w:p>
    <w:p w14:paraId="6666B43C" w14:textId="77777777" w:rsidR="000055F5" w:rsidRDefault="002E7E23" w:rsidP="00840447">
      <w:pPr>
        <w:pStyle w:val="ListParagraph"/>
        <w:numPr>
          <w:ilvl w:val="0"/>
          <w:numId w:val="4"/>
        </w:numPr>
        <w:pBdr>
          <w:top w:val="nil"/>
          <w:left w:val="nil"/>
          <w:bottom w:val="nil"/>
          <w:right w:val="nil"/>
          <w:between w:val="nil"/>
        </w:pBdr>
        <w:spacing w:after="0"/>
        <w:rPr>
          <w:rFonts w:ascii="Arial" w:eastAsia="Lato" w:hAnsi="Arial" w:cs="Arial"/>
          <w:color w:val="000000"/>
        </w:rPr>
      </w:pPr>
      <w:r w:rsidRPr="001C6B96">
        <w:rPr>
          <w:rFonts w:ascii="Arial" w:eastAsia="Lato" w:hAnsi="Arial" w:cs="Arial"/>
          <w:color w:val="000000"/>
        </w:rPr>
        <w:t>Discuss upcoming work to be done prior to next meetin</w:t>
      </w:r>
      <w:r w:rsidR="000055F5">
        <w:rPr>
          <w:rFonts w:ascii="Arial" w:eastAsia="Lato" w:hAnsi="Arial" w:cs="Arial"/>
          <w:color w:val="000000"/>
        </w:rPr>
        <w:t>g</w:t>
      </w:r>
    </w:p>
    <w:p w14:paraId="4B56AFB8" w14:textId="77777777" w:rsidR="000055F5" w:rsidRDefault="002E7E23" w:rsidP="00840447">
      <w:pPr>
        <w:pStyle w:val="ListParagraph"/>
        <w:numPr>
          <w:ilvl w:val="1"/>
          <w:numId w:val="4"/>
        </w:numPr>
        <w:pBdr>
          <w:top w:val="nil"/>
          <w:left w:val="nil"/>
          <w:bottom w:val="nil"/>
          <w:right w:val="nil"/>
          <w:between w:val="nil"/>
        </w:pBdr>
        <w:spacing w:after="0"/>
        <w:rPr>
          <w:rFonts w:ascii="Arial" w:eastAsia="Lato" w:hAnsi="Arial" w:cs="Arial"/>
          <w:color w:val="000000"/>
        </w:rPr>
      </w:pPr>
      <w:r w:rsidRPr="000055F5">
        <w:rPr>
          <w:rFonts w:ascii="Arial" w:eastAsia="Lato" w:hAnsi="Arial" w:cs="Arial"/>
          <w:color w:val="000000"/>
        </w:rPr>
        <w:t>Highlight upcoming areas of collaboration with other tea</w:t>
      </w:r>
      <w:r w:rsidR="000055F5">
        <w:rPr>
          <w:rFonts w:ascii="Arial" w:eastAsia="Lato" w:hAnsi="Arial" w:cs="Arial"/>
          <w:color w:val="000000"/>
        </w:rPr>
        <w:t>ms</w:t>
      </w:r>
    </w:p>
    <w:p w14:paraId="5B59B068" w14:textId="0C44ED77" w:rsidR="001759FA" w:rsidRPr="000055F5" w:rsidRDefault="002E7E23" w:rsidP="00840447">
      <w:pPr>
        <w:pStyle w:val="ListParagraph"/>
        <w:numPr>
          <w:ilvl w:val="1"/>
          <w:numId w:val="4"/>
        </w:numPr>
        <w:pBdr>
          <w:top w:val="nil"/>
          <w:left w:val="nil"/>
          <w:bottom w:val="nil"/>
          <w:right w:val="nil"/>
          <w:between w:val="nil"/>
        </w:pBdr>
        <w:spacing w:after="0"/>
        <w:rPr>
          <w:rFonts w:ascii="Arial" w:eastAsia="Lato" w:hAnsi="Arial" w:cs="Arial"/>
          <w:color w:val="000000"/>
        </w:rPr>
      </w:pPr>
      <w:r w:rsidRPr="000055F5">
        <w:rPr>
          <w:rFonts w:ascii="Arial" w:eastAsia="Lato" w:hAnsi="Arial" w:cs="Arial"/>
          <w:color w:val="000000"/>
        </w:rPr>
        <w:t xml:space="preserve">Request resources from the broader team (if needed) </w:t>
      </w:r>
    </w:p>
    <w:p w14:paraId="1AD16ADD" w14:textId="77777777" w:rsidR="001759FA" w:rsidRPr="001C6B96" w:rsidRDefault="002E7E23" w:rsidP="001C6B96">
      <w:pPr>
        <w:pStyle w:val="ListParagraph"/>
        <w:numPr>
          <w:ilvl w:val="0"/>
          <w:numId w:val="5"/>
        </w:numPr>
        <w:pBdr>
          <w:top w:val="nil"/>
          <w:left w:val="nil"/>
          <w:bottom w:val="nil"/>
          <w:right w:val="nil"/>
          <w:between w:val="nil"/>
        </w:pBdr>
        <w:spacing w:after="0"/>
        <w:rPr>
          <w:rFonts w:ascii="Arial" w:eastAsia="Lato" w:hAnsi="Arial" w:cs="Arial"/>
          <w:color w:val="000000"/>
        </w:rPr>
      </w:pPr>
      <w:r w:rsidRPr="001C6B96">
        <w:rPr>
          <w:rFonts w:ascii="Arial" w:eastAsia="Lato" w:hAnsi="Arial" w:cs="Arial"/>
          <w:color w:val="000000"/>
        </w:rPr>
        <w:t>Clarifying questions/concerns from the entire team for 5 minutes</w:t>
      </w:r>
    </w:p>
    <w:p w14:paraId="6EFD5508" w14:textId="77777777" w:rsidR="001759FA" w:rsidRPr="001C6B96" w:rsidRDefault="002E7E23" w:rsidP="001C6B96">
      <w:pPr>
        <w:pStyle w:val="ListParagraph"/>
        <w:numPr>
          <w:ilvl w:val="0"/>
          <w:numId w:val="5"/>
        </w:numPr>
        <w:pBdr>
          <w:top w:val="nil"/>
          <w:left w:val="nil"/>
          <w:bottom w:val="nil"/>
          <w:right w:val="nil"/>
          <w:between w:val="nil"/>
        </w:pBdr>
        <w:spacing w:after="0"/>
        <w:rPr>
          <w:rFonts w:ascii="Arial" w:eastAsia="Lato" w:hAnsi="Arial" w:cs="Arial"/>
          <w:color w:val="000000"/>
        </w:rPr>
      </w:pPr>
      <w:r w:rsidRPr="001C6B96">
        <w:rPr>
          <w:rFonts w:ascii="Arial" w:eastAsia="Lato" w:hAnsi="Arial" w:cs="Arial"/>
          <w:color w:val="000000"/>
        </w:rPr>
        <w:lastRenderedPageBreak/>
        <w:t>Review Communication to Stakeholders (5 minutes)</w:t>
      </w:r>
    </w:p>
    <w:p w14:paraId="07B40F51" w14:textId="77777777" w:rsidR="001759FA" w:rsidRPr="001C6B96" w:rsidRDefault="002E7E23" w:rsidP="001C6B96">
      <w:pPr>
        <w:pStyle w:val="ListParagraph"/>
        <w:numPr>
          <w:ilvl w:val="0"/>
          <w:numId w:val="5"/>
        </w:numPr>
        <w:pBdr>
          <w:top w:val="nil"/>
          <w:left w:val="nil"/>
          <w:bottom w:val="nil"/>
          <w:right w:val="nil"/>
          <w:between w:val="nil"/>
        </w:pBdr>
        <w:spacing w:after="0"/>
        <w:rPr>
          <w:rFonts w:ascii="Arial" w:eastAsia="Lato" w:hAnsi="Arial" w:cs="Arial"/>
          <w:color w:val="000000"/>
        </w:rPr>
      </w:pPr>
      <w:r w:rsidRPr="001C6B96">
        <w:rPr>
          <w:rFonts w:ascii="Arial" w:eastAsia="Lato" w:hAnsi="Arial" w:cs="Arial"/>
          <w:color w:val="000000"/>
        </w:rPr>
        <w:t>Review Actions Assigned &amp; Parking Lot (5 minutes)</w:t>
      </w:r>
    </w:p>
    <w:p w14:paraId="21BC5033" w14:textId="77777777" w:rsidR="001759FA" w:rsidRPr="001C6B96" w:rsidRDefault="002E7E23" w:rsidP="001C6B96">
      <w:pPr>
        <w:pStyle w:val="ListParagraph"/>
        <w:numPr>
          <w:ilvl w:val="0"/>
          <w:numId w:val="5"/>
        </w:numPr>
        <w:pBdr>
          <w:top w:val="nil"/>
          <w:left w:val="nil"/>
          <w:bottom w:val="nil"/>
          <w:right w:val="nil"/>
          <w:between w:val="nil"/>
        </w:pBdr>
        <w:rPr>
          <w:rFonts w:ascii="Arial" w:eastAsia="Lato" w:hAnsi="Arial" w:cs="Arial"/>
          <w:color w:val="000000"/>
        </w:rPr>
      </w:pPr>
      <w:r w:rsidRPr="001C6B96">
        <w:rPr>
          <w:rFonts w:ascii="Arial" w:eastAsia="Lato" w:hAnsi="Arial" w:cs="Arial"/>
          <w:color w:val="000000"/>
        </w:rPr>
        <w:t>Two-Week Look-Ahead, Fiscal Health Update, &amp; Closing (2 minutes)</w:t>
      </w:r>
    </w:p>
    <w:p w14:paraId="505D69BA" w14:textId="77777777" w:rsidR="001759FA" w:rsidRPr="004C569C" w:rsidRDefault="001759FA">
      <w:pPr>
        <w:rPr>
          <w:rFonts w:ascii="Arial" w:eastAsia="Lato" w:hAnsi="Arial" w:cs="Arial"/>
        </w:rPr>
      </w:pPr>
    </w:p>
    <w:p w14:paraId="2AADDD10" w14:textId="77777777" w:rsidR="001759FA" w:rsidRPr="004C569C" w:rsidRDefault="002E7E23">
      <w:pPr>
        <w:numPr>
          <w:ilvl w:val="0"/>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b/>
          <w:color w:val="000000"/>
        </w:rPr>
        <w:t>Discussion Notes (Critical Readiness Factors)</w:t>
      </w:r>
    </w:p>
    <w:p w14:paraId="6B067624" w14:textId="77777777" w:rsidR="001759FA" w:rsidRPr="004C569C" w:rsidRDefault="002E7E23">
      <w:pPr>
        <w:numPr>
          <w:ilvl w:val="1"/>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color w:val="000000"/>
        </w:rPr>
        <w:t>Projecting Student Enrollment and Teacher Vacancies/Needs/Preferences</w:t>
      </w:r>
    </w:p>
    <w:p w14:paraId="71EF4048" w14:textId="77777777" w:rsidR="001759FA" w:rsidRPr="004C569C" w:rsidRDefault="002E7E23">
      <w:pPr>
        <w:numPr>
          <w:ilvl w:val="1"/>
          <w:numId w:val="1"/>
        </w:numPr>
        <w:pBdr>
          <w:top w:val="nil"/>
          <w:left w:val="nil"/>
          <w:bottom w:val="nil"/>
          <w:right w:val="nil"/>
          <w:between w:val="nil"/>
        </w:pBdr>
        <w:spacing w:after="0"/>
        <w:rPr>
          <w:rFonts w:ascii="Arial" w:eastAsia="Lato" w:hAnsi="Arial" w:cs="Arial"/>
          <w:b/>
          <w:color w:val="000000"/>
        </w:rPr>
      </w:pPr>
      <w:bookmarkStart w:id="1" w:name="_heading=h.gjdgxs" w:colFirst="0" w:colLast="0"/>
      <w:bookmarkEnd w:id="1"/>
      <w:r w:rsidRPr="004C569C">
        <w:rPr>
          <w:rFonts w:ascii="Arial" w:eastAsia="Lato" w:hAnsi="Arial" w:cs="Arial"/>
          <w:color w:val="000000"/>
        </w:rPr>
        <w:t>Recruiting and Hiring Teachers and Staff</w:t>
      </w:r>
    </w:p>
    <w:p w14:paraId="0281F815" w14:textId="77777777" w:rsidR="001759FA" w:rsidRPr="004C569C" w:rsidRDefault="002E7E23">
      <w:pPr>
        <w:numPr>
          <w:ilvl w:val="1"/>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color w:val="000000"/>
        </w:rPr>
        <w:t>Ensuring Student and Staff Health and Safety</w:t>
      </w:r>
    </w:p>
    <w:p w14:paraId="4F16DCB9" w14:textId="77777777" w:rsidR="001759FA" w:rsidRPr="004C569C" w:rsidRDefault="002E7E23">
      <w:pPr>
        <w:numPr>
          <w:ilvl w:val="1"/>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color w:val="000000"/>
        </w:rPr>
        <w:t>Building School and LEA Calendars and Schedules</w:t>
      </w:r>
    </w:p>
    <w:p w14:paraId="3B1E8DA9" w14:textId="77777777" w:rsidR="001759FA" w:rsidRPr="004C569C" w:rsidRDefault="002E7E23">
      <w:pPr>
        <w:numPr>
          <w:ilvl w:val="1"/>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color w:val="000000"/>
        </w:rPr>
        <w:t>Delivering Effective Remote (or Partially Remote) Instruction to Students</w:t>
      </w:r>
    </w:p>
    <w:p w14:paraId="1E2D5ED1" w14:textId="77777777" w:rsidR="001759FA" w:rsidRPr="004C569C" w:rsidRDefault="002E7E23">
      <w:pPr>
        <w:numPr>
          <w:ilvl w:val="1"/>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color w:val="000000"/>
        </w:rPr>
        <w:t>Identifying Student Needs and Providing the Required Services &amp; Supports, Including Special Education &amp; English Learners</w:t>
      </w:r>
    </w:p>
    <w:p w14:paraId="4D9B4A45" w14:textId="77777777" w:rsidR="001759FA" w:rsidRPr="004C569C" w:rsidRDefault="002E7E23">
      <w:pPr>
        <w:numPr>
          <w:ilvl w:val="1"/>
          <w:numId w:val="1"/>
        </w:numPr>
        <w:pBdr>
          <w:top w:val="nil"/>
          <w:left w:val="nil"/>
          <w:bottom w:val="nil"/>
          <w:right w:val="nil"/>
          <w:between w:val="nil"/>
        </w:pBdr>
        <w:rPr>
          <w:rFonts w:ascii="Arial" w:eastAsia="Lato" w:hAnsi="Arial" w:cs="Arial"/>
          <w:b/>
          <w:color w:val="000000"/>
        </w:rPr>
      </w:pPr>
      <w:r w:rsidRPr="004C569C">
        <w:rPr>
          <w:rFonts w:ascii="Arial" w:eastAsia="Lato" w:hAnsi="Arial" w:cs="Arial"/>
          <w:color w:val="000000"/>
        </w:rPr>
        <w:t>Providing Transportation and Food Services Consistent with Health Requirements</w:t>
      </w:r>
    </w:p>
    <w:p w14:paraId="597D2ACE" w14:textId="77777777" w:rsidR="001759FA" w:rsidRPr="004C569C" w:rsidRDefault="001759FA">
      <w:pPr>
        <w:rPr>
          <w:rFonts w:ascii="Arial" w:eastAsia="Lato" w:hAnsi="Arial" w:cs="Arial"/>
          <w:b/>
        </w:rPr>
      </w:pPr>
    </w:p>
    <w:p w14:paraId="31E016B3" w14:textId="77777777" w:rsidR="001759FA" w:rsidRPr="004C569C" w:rsidRDefault="002E7E23">
      <w:pPr>
        <w:numPr>
          <w:ilvl w:val="0"/>
          <w:numId w:val="1"/>
        </w:numPr>
        <w:pBdr>
          <w:top w:val="nil"/>
          <w:left w:val="nil"/>
          <w:bottom w:val="nil"/>
          <w:right w:val="nil"/>
          <w:between w:val="nil"/>
        </w:pBdr>
        <w:rPr>
          <w:rFonts w:ascii="Arial" w:eastAsia="Lato" w:hAnsi="Arial" w:cs="Arial"/>
          <w:b/>
          <w:color w:val="000000"/>
        </w:rPr>
      </w:pPr>
      <w:r w:rsidRPr="004C569C">
        <w:rPr>
          <w:rFonts w:ascii="Arial" w:eastAsia="Lato" w:hAnsi="Arial" w:cs="Arial"/>
          <w:b/>
          <w:color w:val="000000"/>
        </w:rPr>
        <w:t>Decisions Made</w:t>
      </w:r>
    </w:p>
    <w:p w14:paraId="7CD3A026" w14:textId="77777777" w:rsidR="001759FA" w:rsidRPr="004C569C" w:rsidRDefault="001759FA">
      <w:pPr>
        <w:rPr>
          <w:rFonts w:ascii="Arial" w:eastAsia="Lato" w:hAnsi="Arial" w:cs="Arial"/>
          <w:b/>
        </w:rPr>
      </w:pPr>
    </w:p>
    <w:p w14:paraId="5DB3CAD0" w14:textId="77777777" w:rsidR="001759FA" w:rsidRPr="004C569C" w:rsidRDefault="002E7E23">
      <w:pPr>
        <w:numPr>
          <w:ilvl w:val="0"/>
          <w:numId w:val="1"/>
        </w:numPr>
        <w:pBdr>
          <w:top w:val="nil"/>
          <w:left w:val="nil"/>
          <w:bottom w:val="nil"/>
          <w:right w:val="nil"/>
          <w:between w:val="nil"/>
        </w:pBdr>
        <w:rPr>
          <w:rFonts w:ascii="Arial" w:eastAsia="Lato" w:hAnsi="Arial" w:cs="Arial"/>
          <w:b/>
          <w:color w:val="000000"/>
        </w:rPr>
      </w:pPr>
      <w:r w:rsidRPr="004C569C">
        <w:rPr>
          <w:rFonts w:ascii="Arial" w:eastAsia="Lato" w:hAnsi="Arial" w:cs="Arial"/>
          <w:b/>
          <w:color w:val="000000"/>
        </w:rPr>
        <w:t xml:space="preserve">Tasks/Action Items Assigned </w:t>
      </w:r>
      <w:r w:rsidRPr="000055F5">
        <w:rPr>
          <w:rFonts w:ascii="Arial" w:eastAsia="Lato" w:hAnsi="Arial" w:cs="Arial"/>
          <w:bCs/>
          <w:color w:val="000000"/>
        </w:rPr>
        <w:t>(Note: Also Record in Action Tracker)</w:t>
      </w:r>
    </w:p>
    <w:tbl>
      <w:tblPr>
        <w:tblStyle w:val="GridTable4-Accent1"/>
        <w:tblW w:w="8630" w:type="dxa"/>
        <w:tblLayout w:type="fixed"/>
        <w:tblLook w:val="0420" w:firstRow="1" w:lastRow="0" w:firstColumn="0" w:lastColumn="0" w:noHBand="0" w:noVBand="1"/>
      </w:tblPr>
      <w:tblGrid>
        <w:gridCol w:w="2874"/>
        <w:gridCol w:w="2898"/>
        <w:gridCol w:w="2858"/>
      </w:tblGrid>
      <w:tr w:rsidR="001759FA" w:rsidRPr="004C569C" w14:paraId="71DD1D1B" w14:textId="77777777" w:rsidTr="004C569C">
        <w:trPr>
          <w:cnfStyle w:val="100000000000" w:firstRow="1" w:lastRow="0" w:firstColumn="0" w:lastColumn="0" w:oddVBand="0" w:evenVBand="0" w:oddHBand="0" w:evenHBand="0" w:firstRowFirstColumn="0" w:firstRowLastColumn="0" w:lastRowFirstColumn="0" w:lastRowLastColumn="0"/>
        </w:trPr>
        <w:tc>
          <w:tcPr>
            <w:tcW w:w="2874" w:type="dxa"/>
          </w:tcPr>
          <w:p w14:paraId="557874E3" w14:textId="77777777" w:rsidR="001759FA" w:rsidRPr="004C569C" w:rsidRDefault="002E7E23">
            <w:pPr>
              <w:pBdr>
                <w:top w:val="nil"/>
                <w:left w:val="nil"/>
                <w:bottom w:val="nil"/>
                <w:right w:val="nil"/>
                <w:between w:val="nil"/>
              </w:pBdr>
              <w:spacing w:after="160" w:line="259" w:lineRule="auto"/>
              <w:jc w:val="center"/>
              <w:rPr>
                <w:rFonts w:ascii="Arial" w:eastAsia="Lato" w:hAnsi="Arial" w:cs="Arial"/>
                <w:b w:val="0"/>
              </w:rPr>
            </w:pPr>
            <w:r w:rsidRPr="004C569C">
              <w:rPr>
                <w:rFonts w:ascii="Arial" w:eastAsia="Lato" w:hAnsi="Arial" w:cs="Arial"/>
              </w:rPr>
              <w:t>Action</w:t>
            </w:r>
          </w:p>
        </w:tc>
        <w:tc>
          <w:tcPr>
            <w:tcW w:w="2898" w:type="dxa"/>
          </w:tcPr>
          <w:p w14:paraId="092914D1" w14:textId="77777777" w:rsidR="001759FA" w:rsidRPr="004C569C" w:rsidRDefault="002E7E23">
            <w:pPr>
              <w:pBdr>
                <w:top w:val="nil"/>
                <w:left w:val="nil"/>
                <w:bottom w:val="nil"/>
                <w:right w:val="nil"/>
                <w:between w:val="nil"/>
              </w:pBdr>
              <w:spacing w:after="160" w:line="259" w:lineRule="auto"/>
              <w:jc w:val="center"/>
              <w:rPr>
                <w:rFonts w:ascii="Arial" w:eastAsia="Lato" w:hAnsi="Arial" w:cs="Arial"/>
                <w:b w:val="0"/>
              </w:rPr>
            </w:pPr>
            <w:r w:rsidRPr="004C569C">
              <w:rPr>
                <w:rFonts w:ascii="Arial" w:eastAsia="Lato" w:hAnsi="Arial" w:cs="Arial"/>
              </w:rPr>
              <w:t>Assigned To</w:t>
            </w:r>
          </w:p>
        </w:tc>
        <w:tc>
          <w:tcPr>
            <w:tcW w:w="2858" w:type="dxa"/>
          </w:tcPr>
          <w:p w14:paraId="08103C11" w14:textId="77777777" w:rsidR="001759FA" w:rsidRPr="004C569C" w:rsidRDefault="002E7E23">
            <w:pPr>
              <w:pBdr>
                <w:top w:val="nil"/>
                <w:left w:val="nil"/>
                <w:bottom w:val="nil"/>
                <w:right w:val="nil"/>
                <w:between w:val="nil"/>
              </w:pBdr>
              <w:spacing w:after="160" w:line="259" w:lineRule="auto"/>
              <w:jc w:val="center"/>
              <w:rPr>
                <w:rFonts w:ascii="Arial" w:eastAsia="Lato" w:hAnsi="Arial" w:cs="Arial"/>
                <w:b w:val="0"/>
              </w:rPr>
            </w:pPr>
            <w:r w:rsidRPr="004C569C">
              <w:rPr>
                <w:rFonts w:ascii="Arial" w:eastAsia="Lato" w:hAnsi="Arial" w:cs="Arial"/>
              </w:rPr>
              <w:t>Date Due</w:t>
            </w:r>
          </w:p>
        </w:tc>
      </w:tr>
      <w:tr w:rsidR="001759FA" w:rsidRPr="004C569C" w14:paraId="6C8571E7" w14:textId="77777777" w:rsidTr="004C569C">
        <w:trPr>
          <w:cnfStyle w:val="000000100000" w:firstRow="0" w:lastRow="0" w:firstColumn="0" w:lastColumn="0" w:oddVBand="0" w:evenVBand="0" w:oddHBand="1" w:evenHBand="0" w:firstRowFirstColumn="0" w:firstRowLastColumn="0" w:lastRowFirstColumn="0" w:lastRowLastColumn="0"/>
        </w:trPr>
        <w:tc>
          <w:tcPr>
            <w:tcW w:w="2874" w:type="dxa"/>
          </w:tcPr>
          <w:p w14:paraId="4AB29935" w14:textId="77777777" w:rsidR="001759FA" w:rsidRPr="004C569C" w:rsidRDefault="001759FA">
            <w:pPr>
              <w:pBdr>
                <w:top w:val="nil"/>
                <w:left w:val="nil"/>
                <w:bottom w:val="nil"/>
                <w:right w:val="nil"/>
                <w:between w:val="nil"/>
              </w:pBdr>
              <w:spacing w:after="160" w:line="259" w:lineRule="auto"/>
              <w:rPr>
                <w:rFonts w:ascii="Arial" w:eastAsia="Lato" w:hAnsi="Arial" w:cs="Arial"/>
                <w:b/>
                <w:color w:val="000000"/>
              </w:rPr>
            </w:pPr>
          </w:p>
        </w:tc>
        <w:tc>
          <w:tcPr>
            <w:tcW w:w="2898" w:type="dxa"/>
          </w:tcPr>
          <w:p w14:paraId="40AC5E98" w14:textId="77777777" w:rsidR="001759FA" w:rsidRPr="004C569C" w:rsidRDefault="001759FA">
            <w:pPr>
              <w:pBdr>
                <w:top w:val="nil"/>
                <w:left w:val="nil"/>
                <w:bottom w:val="nil"/>
                <w:right w:val="nil"/>
                <w:between w:val="nil"/>
              </w:pBdr>
              <w:spacing w:after="160" w:line="259" w:lineRule="auto"/>
              <w:rPr>
                <w:rFonts w:ascii="Arial" w:eastAsia="Lato" w:hAnsi="Arial" w:cs="Arial"/>
                <w:b/>
                <w:color w:val="000000"/>
              </w:rPr>
            </w:pPr>
          </w:p>
        </w:tc>
        <w:tc>
          <w:tcPr>
            <w:tcW w:w="2858" w:type="dxa"/>
          </w:tcPr>
          <w:p w14:paraId="2FB5CCFA" w14:textId="77777777" w:rsidR="001759FA" w:rsidRPr="004C569C" w:rsidRDefault="001759FA">
            <w:pPr>
              <w:pBdr>
                <w:top w:val="nil"/>
                <w:left w:val="nil"/>
                <w:bottom w:val="nil"/>
                <w:right w:val="nil"/>
                <w:between w:val="nil"/>
              </w:pBdr>
              <w:spacing w:after="160" w:line="259" w:lineRule="auto"/>
              <w:rPr>
                <w:rFonts w:ascii="Arial" w:eastAsia="Lato" w:hAnsi="Arial" w:cs="Arial"/>
                <w:b/>
                <w:color w:val="000000"/>
              </w:rPr>
            </w:pPr>
          </w:p>
        </w:tc>
      </w:tr>
      <w:tr w:rsidR="001759FA" w:rsidRPr="004C569C" w14:paraId="7994E77F" w14:textId="77777777" w:rsidTr="004C569C">
        <w:tc>
          <w:tcPr>
            <w:tcW w:w="2874" w:type="dxa"/>
          </w:tcPr>
          <w:p w14:paraId="566F9803" w14:textId="77777777" w:rsidR="001759FA" w:rsidRPr="004C569C" w:rsidRDefault="001759FA">
            <w:pPr>
              <w:pBdr>
                <w:top w:val="nil"/>
                <w:left w:val="nil"/>
                <w:bottom w:val="nil"/>
                <w:right w:val="nil"/>
                <w:between w:val="nil"/>
              </w:pBdr>
              <w:spacing w:after="160" w:line="259" w:lineRule="auto"/>
              <w:rPr>
                <w:rFonts w:ascii="Arial" w:eastAsia="Lato" w:hAnsi="Arial" w:cs="Arial"/>
                <w:b/>
                <w:color w:val="000000"/>
              </w:rPr>
            </w:pPr>
          </w:p>
        </w:tc>
        <w:tc>
          <w:tcPr>
            <w:tcW w:w="2898" w:type="dxa"/>
          </w:tcPr>
          <w:p w14:paraId="122796EA" w14:textId="77777777" w:rsidR="001759FA" w:rsidRPr="004C569C" w:rsidRDefault="001759FA">
            <w:pPr>
              <w:pBdr>
                <w:top w:val="nil"/>
                <w:left w:val="nil"/>
                <w:bottom w:val="nil"/>
                <w:right w:val="nil"/>
                <w:between w:val="nil"/>
              </w:pBdr>
              <w:spacing w:after="160" w:line="259" w:lineRule="auto"/>
              <w:rPr>
                <w:rFonts w:ascii="Arial" w:eastAsia="Lato" w:hAnsi="Arial" w:cs="Arial"/>
                <w:b/>
                <w:color w:val="000000"/>
              </w:rPr>
            </w:pPr>
          </w:p>
        </w:tc>
        <w:tc>
          <w:tcPr>
            <w:tcW w:w="2858" w:type="dxa"/>
          </w:tcPr>
          <w:p w14:paraId="13D55119" w14:textId="77777777" w:rsidR="001759FA" w:rsidRPr="004C569C" w:rsidRDefault="001759FA">
            <w:pPr>
              <w:pBdr>
                <w:top w:val="nil"/>
                <w:left w:val="nil"/>
                <w:bottom w:val="nil"/>
                <w:right w:val="nil"/>
                <w:between w:val="nil"/>
              </w:pBdr>
              <w:spacing w:after="160" w:line="259" w:lineRule="auto"/>
              <w:rPr>
                <w:rFonts w:ascii="Arial" w:eastAsia="Lato" w:hAnsi="Arial" w:cs="Arial"/>
                <w:b/>
                <w:color w:val="000000"/>
              </w:rPr>
            </w:pPr>
          </w:p>
        </w:tc>
      </w:tr>
      <w:tr w:rsidR="001759FA" w:rsidRPr="004C569C" w14:paraId="28CA88B6" w14:textId="77777777" w:rsidTr="004C569C">
        <w:trPr>
          <w:cnfStyle w:val="000000100000" w:firstRow="0" w:lastRow="0" w:firstColumn="0" w:lastColumn="0" w:oddVBand="0" w:evenVBand="0" w:oddHBand="1" w:evenHBand="0" w:firstRowFirstColumn="0" w:firstRowLastColumn="0" w:lastRowFirstColumn="0" w:lastRowLastColumn="0"/>
        </w:trPr>
        <w:tc>
          <w:tcPr>
            <w:tcW w:w="2874" w:type="dxa"/>
          </w:tcPr>
          <w:p w14:paraId="6081F4E9" w14:textId="77777777" w:rsidR="001759FA" w:rsidRPr="004C569C" w:rsidRDefault="001759FA">
            <w:pPr>
              <w:pBdr>
                <w:top w:val="nil"/>
                <w:left w:val="nil"/>
                <w:bottom w:val="nil"/>
                <w:right w:val="nil"/>
                <w:between w:val="nil"/>
              </w:pBdr>
              <w:spacing w:after="160" w:line="259" w:lineRule="auto"/>
              <w:rPr>
                <w:rFonts w:ascii="Arial" w:eastAsia="Lato" w:hAnsi="Arial" w:cs="Arial"/>
                <w:b/>
                <w:color w:val="000000"/>
              </w:rPr>
            </w:pPr>
          </w:p>
        </w:tc>
        <w:tc>
          <w:tcPr>
            <w:tcW w:w="2898" w:type="dxa"/>
          </w:tcPr>
          <w:p w14:paraId="749D7F8F" w14:textId="77777777" w:rsidR="001759FA" w:rsidRPr="004C569C" w:rsidRDefault="001759FA">
            <w:pPr>
              <w:pBdr>
                <w:top w:val="nil"/>
                <w:left w:val="nil"/>
                <w:bottom w:val="nil"/>
                <w:right w:val="nil"/>
                <w:between w:val="nil"/>
              </w:pBdr>
              <w:spacing w:after="160" w:line="259" w:lineRule="auto"/>
              <w:rPr>
                <w:rFonts w:ascii="Arial" w:eastAsia="Lato" w:hAnsi="Arial" w:cs="Arial"/>
                <w:b/>
                <w:color w:val="000000"/>
              </w:rPr>
            </w:pPr>
          </w:p>
        </w:tc>
        <w:tc>
          <w:tcPr>
            <w:tcW w:w="2858" w:type="dxa"/>
          </w:tcPr>
          <w:p w14:paraId="593386E3" w14:textId="77777777" w:rsidR="001759FA" w:rsidRPr="004C569C" w:rsidRDefault="001759FA">
            <w:pPr>
              <w:pBdr>
                <w:top w:val="nil"/>
                <w:left w:val="nil"/>
                <w:bottom w:val="nil"/>
                <w:right w:val="nil"/>
                <w:between w:val="nil"/>
              </w:pBdr>
              <w:spacing w:after="160" w:line="259" w:lineRule="auto"/>
              <w:rPr>
                <w:rFonts w:ascii="Arial" w:eastAsia="Lato" w:hAnsi="Arial" w:cs="Arial"/>
                <w:b/>
                <w:color w:val="000000"/>
              </w:rPr>
            </w:pPr>
          </w:p>
        </w:tc>
      </w:tr>
    </w:tbl>
    <w:p w14:paraId="7CEB6436" w14:textId="77777777" w:rsidR="001759FA" w:rsidRPr="004C569C" w:rsidRDefault="001759FA">
      <w:pPr>
        <w:pBdr>
          <w:top w:val="nil"/>
          <w:left w:val="nil"/>
          <w:bottom w:val="nil"/>
          <w:right w:val="nil"/>
          <w:between w:val="nil"/>
        </w:pBdr>
        <w:spacing w:after="0"/>
        <w:ind w:left="720"/>
        <w:rPr>
          <w:rFonts w:ascii="Arial" w:eastAsia="Lato" w:hAnsi="Arial" w:cs="Arial"/>
          <w:b/>
          <w:color w:val="000000"/>
        </w:rPr>
      </w:pPr>
    </w:p>
    <w:p w14:paraId="6D70715D" w14:textId="77777777" w:rsidR="001759FA" w:rsidRPr="004C569C" w:rsidRDefault="002E7E23">
      <w:pPr>
        <w:numPr>
          <w:ilvl w:val="0"/>
          <w:numId w:val="1"/>
        </w:numPr>
        <w:pBdr>
          <w:top w:val="nil"/>
          <w:left w:val="nil"/>
          <w:bottom w:val="nil"/>
          <w:right w:val="nil"/>
          <w:between w:val="nil"/>
        </w:pBdr>
        <w:rPr>
          <w:rFonts w:ascii="Arial" w:eastAsia="Lato" w:hAnsi="Arial" w:cs="Arial"/>
          <w:b/>
          <w:color w:val="000000"/>
        </w:rPr>
      </w:pPr>
      <w:r w:rsidRPr="004C569C">
        <w:rPr>
          <w:rFonts w:ascii="Arial" w:eastAsia="Lato" w:hAnsi="Arial" w:cs="Arial"/>
          <w:b/>
          <w:color w:val="000000"/>
        </w:rPr>
        <w:t>Parking Lot</w:t>
      </w:r>
    </w:p>
    <w:p w14:paraId="0DB9DF78" w14:textId="77777777" w:rsidR="001759FA" w:rsidRPr="004C569C" w:rsidRDefault="001759FA">
      <w:pPr>
        <w:rPr>
          <w:rFonts w:ascii="Arial" w:eastAsia="Lato" w:hAnsi="Arial" w:cs="Arial"/>
          <w:b/>
        </w:rPr>
      </w:pPr>
    </w:p>
    <w:p w14:paraId="2EBEBA9D" w14:textId="77777777" w:rsidR="001759FA" w:rsidRPr="004C569C" w:rsidRDefault="002E7E23">
      <w:pPr>
        <w:numPr>
          <w:ilvl w:val="0"/>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b/>
          <w:color w:val="000000"/>
        </w:rPr>
        <w:t>Items to Include in Communication to Stakeholders</w:t>
      </w:r>
    </w:p>
    <w:p w14:paraId="6609DF77" w14:textId="339F9F32" w:rsidR="001759FA" w:rsidRPr="004C569C" w:rsidRDefault="002E7E23">
      <w:pPr>
        <w:numPr>
          <w:ilvl w:val="1"/>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color w:val="000000"/>
        </w:rPr>
        <w:t xml:space="preserve">Leadership (should also receive Staff and Families </w:t>
      </w:r>
      <w:r w:rsidR="00AB6F58">
        <w:rPr>
          <w:rFonts w:ascii="Arial" w:eastAsia="Lato" w:hAnsi="Arial" w:cs="Arial"/>
          <w:color w:val="000000"/>
        </w:rPr>
        <w:t xml:space="preserve">and </w:t>
      </w:r>
      <w:r w:rsidRPr="004C569C">
        <w:rPr>
          <w:rFonts w:ascii="Arial" w:eastAsia="Lato" w:hAnsi="Arial" w:cs="Arial"/>
          <w:color w:val="000000"/>
        </w:rPr>
        <w:t>Community Partners communications)</w:t>
      </w:r>
    </w:p>
    <w:p w14:paraId="23CECE8B" w14:textId="3CEC039E" w:rsidR="001759FA" w:rsidRPr="004C569C" w:rsidRDefault="002E7E23">
      <w:pPr>
        <w:numPr>
          <w:ilvl w:val="1"/>
          <w:numId w:val="1"/>
        </w:numPr>
        <w:pBdr>
          <w:top w:val="nil"/>
          <w:left w:val="nil"/>
          <w:bottom w:val="nil"/>
          <w:right w:val="nil"/>
          <w:between w:val="nil"/>
        </w:pBdr>
        <w:spacing w:after="0"/>
        <w:rPr>
          <w:rFonts w:ascii="Arial" w:eastAsia="Lato" w:hAnsi="Arial" w:cs="Arial"/>
          <w:b/>
          <w:color w:val="000000"/>
        </w:rPr>
      </w:pPr>
      <w:r w:rsidRPr="004C569C">
        <w:rPr>
          <w:rFonts w:ascii="Arial" w:eastAsia="Lato" w:hAnsi="Arial" w:cs="Arial"/>
          <w:color w:val="000000"/>
        </w:rPr>
        <w:t xml:space="preserve">Staff (should also receive Families </w:t>
      </w:r>
      <w:r w:rsidR="00AB6F58">
        <w:rPr>
          <w:rFonts w:ascii="Arial" w:eastAsia="Lato" w:hAnsi="Arial" w:cs="Arial"/>
          <w:color w:val="000000"/>
        </w:rPr>
        <w:t>and</w:t>
      </w:r>
      <w:r w:rsidRPr="004C569C">
        <w:rPr>
          <w:rFonts w:ascii="Arial" w:eastAsia="Lato" w:hAnsi="Arial" w:cs="Arial"/>
          <w:color w:val="000000"/>
        </w:rPr>
        <w:t xml:space="preserve"> Community Partners communications)</w:t>
      </w:r>
    </w:p>
    <w:p w14:paraId="4FD67D11" w14:textId="45539C4A" w:rsidR="001759FA" w:rsidRPr="004C569C" w:rsidRDefault="002E7E23">
      <w:pPr>
        <w:numPr>
          <w:ilvl w:val="1"/>
          <w:numId w:val="1"/>
        </w:numPr>
        <w:pBdr>
          <w:top w:val="nil"/>
          <w:left w:val="nil"/>
          <w:bottom w:val="nil"/>
          <w:right w:val="nil"/>
          <w:between w:val="nil"/>
        </w:pBdr>
        <w:rPr>
          <w:rFonts w:ascii="Arial" w:eastAsia="Lato" w:hAnsi="Arial" w:cs="Arial"/>
          <w:b/>
          <w:color w:val="000000"/>
        </w:rPr>
      </w:pPr>
      <w:r w:rsidRPr="004C569C">
        <w:rPr>
          <w:rFonts w:ascii="Arial" w:eastAsia="Lato" w:hAnsi="Arial" w:cs="Arial"/>
          <w:color w:val="000000"/>
        </w:rPr>
        <w:t xml:space="preserve">Families </w:t>
      </w:r>
      <w:r w:rsidR="00AB6F58">
        <w:rPr>
          <w:rFonts w:ascii="Arial" w:eastAsia="Lato" w:hAnsi="Arial" w:cs="Arial"/>
          <w:color w:val="000000"/>
        </w:rPr>
        <w:t>and</w:t>
      </w:r>
      <w:r w:rsidRPr="004C569C">
        <w:rPr>
          <w:rFonts w:ascii="Arial" w:eastAsia="Lato" w:hAnsi="Arial" w:cs="Arial"/>
          <w:color w:val="000000"/>
        </w:rPr>
        <w:t xml:space="preserve"> Community Partners</w:t>
      </w:r>
    </w:p>
    <w:sectPr w:rsidR="001759FA" w:rsidRPr="004C569C">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54BA0" w14:textId="77777777" w:rsidR="000811DD" w:rsidRDefault="000811DD">
      <w:pPr>
        <w:spacing w:after="0" w:line="240" w:lineRule="auto"/>
      </w:pPr>
      <w:r>
        <w:separator/>
      </w:r>
    </w:p>
  </w:endnote>
  <w:endnote w:type="continuationSeparator" w:id="0">
    <w:p w14:paraId="232A7D5A" w14:textId="77777777" w:rsidR="000811DD" w:rsidRDefault="0008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3615416"/>
      <w:docPartObj>
        <w:docPartGallery w:val="Page Numbers (Bottom of Page)"/>
        <w:docPartUnique/>
      </w:docPartObj>
    </w:sdtPr>
    <w:sdtEndPr>
      <w:rPr>
        <w:rStyle w:val="PageNumber"/>
      </w:rPr>
    </w:sdtEndPr>
    <w:sdtContent>
      <w:p w14:paraId="7D22ADD4" w14:textId="0A11388C" w:rsidR="009B4CF1" w:rsidRDefault="009B4CF1" w:rsidP="00382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F4B078" w14:textId="77777777" w:rsidR="009B4CF1" w:rsidRDefault="009B4CF1" w:rsidP="009B4C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Lato" w:hAnsi="Lato"/>
      </w:rPr>
      <w:id w:val="1086962802"/>
      <w:docPartObj>
        <w:docPartGallery w:val="Page Numbers (Bottom of Page)"/>
        <w:docPartUnique/>
      </w:docPartObj>
    </w:sdtPr>
    <w:sdtEndPr>
      <w:rPr>
        <w:rStyle w:val="PageNumber"/>
      </w:rPr>
    </w:sdtEndPr>
    <w:sdtContent>
      <w:p w14:paraId="43541CA4" w14:textId="13E2687E" w:rsidR="009B4CF1" w:rsidRPr="009B4CF1" w:rsidRDefault="009B4CF1" w:rsidP="00382DCC">
        <w:pPr>
          <w:pStyle w:val="Footer"/>
          <w:framePr w:wrap="none" w:vAnchor="text" w:hAnchor="margin" w:xAlign="right" w:y="1"/>
          <w:rPr>
            <w:rStyle w:val="PageNumber"/>
            <w:rFonts w:ascii="Lato" w:hAnsi="Lato"/>
          </w:rPr>
        </w:pPr>
        <w:r w:rsidRPr="009B4CF1">
          <w:rPr>
            <w:rStyle w:val="PageNumber"/>
            <w:rFonts w:ascii="Lato" w:hAnsi="Lato"/>
          </w:rPr>
          <w:fldChar w:fldCharType="begin"/>
        </w:r>
        <w:r w:rsidRPr="009B4CF1">
          <w:rPr>
            <w:rStyle w:val="PageNumber"/>
            <w:rFonts w:ascii="Lato" w:hAnsi="Lato"/>
          </w:rPr>
          <w:instrText xml:space="preserve"> PAGE </w:instrText>
        </w:r>
        <w:r w:rsidRPr="009B4CF1">
          <w:rPr>
            <w:rStyle w:val="PageNumber"/>
            <w:rFonts w:ascii="Lato" w:hAnsi="Lato"/>
          </w:rPr>
          <w:fldChar w:fldCharType="separate"/>
        </w:r>
        <w:r w:rsidRPr="009B4CF1">
          <w:rPr>
            <w:rStyle w:val="PageNumber"/>
            <w:rFonts w:ascii="Lato" w:hAnsi="Lato"/>
            <w:noProof/>
          </w:rPr>
          <w:t>1</w:t>
        </w:r>
        <w:r w:rsidRPr="009B4CF1">
          <w:rPr>
            <w:rStyle w:val="PageNumber"/>
            <w:rFonts w:ascii="Lato" w:hAnsi="Lato"/>
          </w:rPr>
          <w:fldChar w:fldCharType="end"/>
        </w:r>
      </w:p>
    </w:sdtContent>
  </w:sdt>
  <w:p w14:paraId="3F65E6CD" w14:textId="77777777" w:rsidR="009B4CF1" w:rsidRDefault="009B4CF1" w:rsidP="009B4C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59CDF" w14:textId="77777777" w:rsidR="000811DD" w:rsidRDefault="000811DD">
      <w:pPr>
        <w:spacing w:after="0" w:line="240" w:lineRule="auto"/>
      </w:pPr>
      <w:r>
        <w:separator/>
      </w:r>
    </w:p>
  </w:footnote>
  <w:footnote w:type="continuationSeparator" w:id="0">
    <w:p w14:paraId="20841F1C" w14:textId="77777777" w:rsidR="000811DD" w:rsidRDefault="00081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0E602" w14:textId="77777777" w:rsidR="001759FA" w:rsidRDefault="001759FA">
    <w:pPr>
      <w:spacing w:after="0" w:line="276" w:lineRule="auto"/>
      <w:rPr>
        <w:rFonts w:ascii="Lato" w:eastAsia="Lato" w:hAnsi="Lato" w:cs="Lato"/>
      </w:rPr>
    </w:pPr>
  </w:p>
  <w:tbl>
    <w:tblPr>
      <w:tblStyle w:val="TableGrid"/>
      <w:tblW w:w="133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3955"/>
    </w:tblGrid>
    <w:tr w:rsidR="00555AED" w14:paraId="178CF763" w14:textId="77777777" w:rsidTr="004C569C">
      <w:tc>
        <w:tcPr>
          <w:tcW w:w="9360" w:type="dxa"/>
        </w:tcPr>
        <w:p w14:paraId="3E378883" w14:textId="77777777" w:rsidR="00555AED" w:rsidRPr="004C569C" w:rsidRDefault="00555AED" w:rsidP="00555AED">
          <w:pPr>
            <w:pStyle w:val="Header"/>
            <w:rPr>
              <w:rFonts w:ascii="Arial" w:hAnsi="Arial" w:cs="Arial"/>
              <w:color w:val="595959" w:themeColor="text1" w:themeTint="A6"/>
              <w:sz w:val="20"/>
              <w:szCs w:val="20"/>
            </w:rPr>
          </w:pPr>
          <w:r w:rsidRPr="004C569C">
            <w:rPr>
              <w:rFonts w:ascii="Arial" w:hAnsi="Arial" w:cs="Arial"/>
              <w:color w:val="595959" w:themeColor="text1" w:themeTint="A6"/>
              <w:sz w:val="20"/>
              <w:szCs w:val="20"/>
            </w:rPr>
            <w:t>Selecting &amp; Implementing an Instructional Delivery Model for SY20-21: Toolkit for Pennsylvania LEAs</w:t>
          </w:r>
        </w:p>
      </w:tc>
      <w:tc>
        <w:tcPr>
          <w:tcW w:w="3955" w:type="dxa"/>
        </w:tcPr>
        <w:p w14:paraId="737CD890" w14:textId="663BF133" w:rsidR="00555AED" w:rsidRDefault="00555AED" w:rsidP="00555AED">
          <w:pPr>
            <w:pStyle w:val="Header"/>
            <w:jc w:val="right"/>
          </w:pPr>
        </w:p>
      </w:tc>
    </w:tr>
  </w:tbl>
  <w:p w14:paraId="38195773" w14:textId="77777777" w:rsidR="001759FA" w:rsidRDefault="001759FA">
    <w:pP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B1F6A"/>
    <w:multiLevelType w:val="hybridMultilevel"/>
    <w:tmpl w:val="72524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0C240D"/>
    <w:multiLevelType w:val="hybridMultilevel"/>
    <w:tmpl w:val="73CCF3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580216"/>
    <w:multiLevelType w:val="multilevel"/>
    <w:tmpl w:val="6F8265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B8554BB"/>
    <w:multiLevelType w:val="hybridMultilevel"/>
    <w:tmpl w:val="5FFE0D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DA4398E"/>
    <w:multiLevelType w:val="multilevel"/>
    <w:tmpl w:val="86529036"/>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46249E"/>
    <w:multiLevelType w:val="multilevel"/>
    <w:tmpl w:val="01DEFC3E"/>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FA"/>
    <w:rsid w:val="000055F5"/>
    <w:rsid w:val="000811DD"/>
    <w:rsid w:val="001748AF"/>
    <w:rsid w:val="001759FA"/>
    <w:rsid w:val="001C6B96"/>
    <w:rsid w:val="002E7E23"/>
    <w:rsid w:val="004C569C"/>
    <w:rsid w:val="00512BC1"/>
    <w:rsid w:val="0055007A"/>
    <w:rsid w:val="00555AED"/>
    <w:rsid w:val="005718B3"/>
    <w:rsid w:val="006053B6"/>
    <w:rsid w:val="007041C6"/>
    <w:rsid w:val="00840447"/>
    <w:rsid w:val="00871AEB"/>
    <w:rsid w:val="009B4CF1"/>
    <w:rsid w:val="009B5A61"/>
    <w:rsid w:val="00A563CE"/>
    <w:rsid w:val="00AB6F58"/>
    <w:rsid w:val="00BD57A6"/>
    <w:rsid w:val="00DC4E38"/>
    <w:rsid w:val="00EB045C"/>
    <w:rsid w:val="00F474B7"/>
    <w:rsid w:val="00FC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9E87C"/>
  <w15:docId w15:val="{7CD47A56-63DF-4E47-9305-A861B752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basedOn w:val="Normal"/>
    <w:uiPriority w:val="34"/>
    <w:qFormat/>
    <w:rsid w:val="00DB69B8"/>
    <w:pPr>
      <w:ind w:left="720"/>
      <w:contextualSpacing/>
    </w:pPr>
  </w:style>
  <w:style w:type="table" w:styleId="TableGrid">
    <w:name w:val="Table Grid"/>
    <w:basedOn w:val="TableNormal"/>
    <w:uiPriority w:val="39"/>
    <w:rsid w:val="00DB6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5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AED"/>
  </w:style>
  <w:style w:type="paragraph" w:styleId="Footer">
    <w:name w:val="footer"/>
    <w:basedOn w:val="Normal"/>
    <w:link w:val="FooterChar"/>
    <w:uiPriority w:val="99"/>
    <w:unhideWhenUsed/>
    <w:rsid w:val="00555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AED"/>
  </w:style>
  <w:style w:type="character" w:styleId="PageNumber">
    <w:name w:val="page number"/>
    <w:basedOn w:val="DefaultParagraphFont"/>
    <w:uiPriority w:val="99"/>
    <w:semiHidden/>
    <w:unhideWhenUsed/>
    <w:rsid w:val="009B4CF1"/>
  </w:style>
  <w:style w:type="table" w:styleId="GridTable4-Accent1">
    <w:name w:val="Grid Table 4 Accent 1"/>
    <w:basedOn w:val="TableNormal"/>
    <w:uiPriority w:val="49"/>
    <w:rsid w:val="004C56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leChar">
    <w:name w:val="Title Char"/>
    <w:basedOn w:val="DefaultParagraphFont"/>
    <w:link w:val="Title"/>
    <w:uiPriority w:val="10"/>
    <w:rsid w:val="004C569C"/>
    <w:rPr>
      <w:b/>
      <w:sz w:val="72"/>
      <w:szCs w:val="72"/>
    </w:rPr>
  </w:style>
  <w:style w:type="character" w:customStyle="1" w:styleId="SubtitleChar">
    <w:name w:val="Subtitle Char"/>
    <w:basedOn w:val="DefaultParagraphFont"/>
    <w:link w:val="Subtitle"/>
    <w:uiPriority w:val="11"/>
    <w:rsid w:val="004C569C"/>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C4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38"/>
    <w:rPr>
      <w:rFonts w:ascii="Segoe UI" w:hAnsi="Segoe UI" w:cs="Segoe UI"/>
      <w:sz w:val="18"/>
      <w:szCs w:val="18"/>
    </w:rPr>
  </w:style>
  <w:style w:type="character" w:styleId="CommentReference">
    <w:name w:val="annotation reference"/>
    <w:basedOn w:val="DefaultParagraphFont"/>
    <w:uiPriority w:val="99"/>
    <w:semiHidden/>
    <w:unhideWhenUsed/>
    <w:rsid w:val="00DC4E38"/>
    <w:rPr>
      <w:sz w:val="16"/>
      <w:szCs w:val="16"/>
    </w:rPr>
  </w:style>
  <w:style w:type="paragraph" w:styleId="CommentText">
    <w:name w:val="annotation text"/>
    <w:basedOn w:val="Normal"/>
    <w:link w:val="CommentTextChar"/>
    <w:uiPriority w:val="99"/>
    <w:semiHidden/>
    <w:unhideWhenUsed/>
    <w:rsid w:val="00DC4E38"/>
    <w:pPr>
      <w:spacing w:line="240" w:lineRule="auto"/>
    </w:pPr>
    <w:rPr>
      <w:sz w:val="20"/>
      <w:szCs w:val="20"/>
    </w:rPr>
  </w:style>
  <w:style w:type="character" w:customStyle="1" w:styleId="CommentTextChar">
    <w:name w:val="Comment Text Char"/>
    <w:basedOn w:val="DefaultParagraphFont"/>
    <w:link w:val="CommentText"/>
    <w:uiPriority w:val="99"/>
    <w:semiHidden/>
    <w:rsid w:val="00DC4E38"/>
    <w:rPr>
      <w:sz w:val="20"/>
      <w:szCs w:val="20"/>
    </w:rPr>
  </w:style>
  <w:style w:type="paragraph" w:styleId="CommentSubject">
    <w:name w:val="annotation subject"/>
    <w:basedOn w:val="CommentText"/>
    <w:next w:val="CommentText"/>
    <w:link w:val="CommentSubjectChar"/>
    <w:uiPriority w:val="99"/>
    <w:semiHidden/>
    <w:unhideWhenUsed/>
    <w:rsid w:val="00DC4E38"/>
    <w:rPr>
      <w:b/>
      <w:bCs/>
    </w:rPr>
  </w:style>
  <w:style w:type="character" w:customStyle="1" w:styleId="CommentSubjectChar">
    <w:name w:val="Comment Subject Char"/>
    <w:basedOn w:val="CommentTextChar"/>
    <w:link w:val="CommentSubject"/>
    <w:uiPriority w:val="99"/>
    <w:semiHidden/>
    <w:rsid w:val="00DC4E38"/>
    <w:rPr>
      <w:b/>
      <w:bCs/>
      <w:sz w:val="20"/>
      <w:szCs w:val="20"/>
    </w:rPr>
  </w:style>
  <w:style w:type="character" w:customStyle="1" w:styleId="normaltextrun">
    <w:name w:val="normaltextrun"/>
    <w:basedOn w:val="DefaultParagraphFont"/>
    <w:rsid w:val="00512BC1"/>
  </w:style>
  <w:style w:type="character" w:styleId="Hyperlink">
    <w:name w:val="Hyperlink"/>
    <w:basedOn w:val="DefaultParagraphFont"/>
    <w:uiPriority w:val="99"/>
    <w:unhideWhenUsed/>
    <w:rsid w:val="00840447"/>
    <w:rPr>
      <w:color w:val="0563C1" w:themeColor="hyperlink"/>
      <w:u w:val="single"/>
    </w:rPr>
  </w:style>
  <w:style w:type="character" w:styleId="UnresolvedMention">
    <w:name w:val="Unresolved Mention"/>
    <w:basedOn w:val="DefaultParagraphFont"/>
    <w:uiPriority w:val="99"/>
    <w:semiHidden/>
    <w:unhideWhenUsed/>
    <w:rsid w:val="00840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ducation.pa.gov/Schools/safeschools/emergencyplanning/COVID-19/SchoolReopeningGuidance/ReopeningPreKto12/CreatingEquitableSchoolSystems/Pages/Support-Social-and-Emotional-Wellnes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DSMsviIN2Xnshn0XDz4Bq3g==">AMUW2mXdEflcQmhpJD6wZAxbPrY+MqIheeB64PHtKWEDksTq5sWTWsUuWCruwJAq+1s2b2Z2t2rzKTctY9tuw+E8neTzh9nMP3o7ZiOeGauknNTOILIuBqpR4TWV5r/QY00jhU5D1cHt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230CBB-64A1-4D80-AB6F-6F2E22CDBDC3}"/>
</file>

<file path=customXml/itemProps3.xml><?xml version="1.0" encoding="utf-8"?>
<ds:datastoreItem xmlns:ds="http://schemas.openxmlformats.org/officeDocument/2006/customXml" ds:itemID="{8993040E-F87C-4BCE-AD78-401378104CAC}"/>
</file>

<file path=customXml/itemProps4.xml><?xml version="1.0" encoding="utf-8"?>
<ds:datastoreItem xmlns:ds="http://schemas.openxmlformats.org/officeDocument/2006/customXml" ds:itemID="{7D0DC23F-48DF-4D77-A11C-7BAF4387370E}"/>
</file>

<file path=docProps/app.xml><?xml version="1.0" encoding="utf-8"?>
<Properties xmlns="http://schemas.openxmlformats.org/officeDocument/2006/extended-properties" xmlns:vt="http://schemas.openxmlformats.org/officeDocument/2006/docPropsVTypes">
  <Template>Normal.dotm</Template>
  <TotalTime>9</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 Protocol</dc:title>
  <dc:creator>Drew Madden</dc:creator>
  <cp:lastModifiedBy>Dukert, Tracey</cp:lastModifiedBy>
  <cp:revision>4</cp:revision>
  <dcterms:created xsi:type="dcterms:W3CDTF">2020-07-26T17:39:00Z</dcterms:created>
  <dcterms:modified xsi:type="dcterms:W3CDTF">2020-07-27T14:28:00Z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