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37D77" w14:textId="3AF7F8C8" w:rsidR="00F45778" w:rsidRPr="004C569C" w:rsidRDefault="00F45778" w:rsidP="00F45778">
      <w:pPr>
        <w:pStyle w:val="Title"/>
        <w:pBdr>
          <w:bottom w:val="single" w:sz="4" w:space="1" w:color="auto"/>
        </w:pBdr>
        <w:jc w:val="center"/>
        <w:rPr>
          <w:b/>
          <w:bCs/>
        </w:rPr>
      </w:pPr>
      <w:r>
        <w:rPr>
          <w:bCs/>
        </w:rPr>
        <w:t>Monitoring</w:t>
      </w:r>
      <w:r w:rsidR="00950269">
        <w:rPr>
          <w:bCs/>
        </w:rPr>
        <w:t xml:space="preserve"> Progress</w:t>
      </w:r>
    </w:p>
    <w:p w14:paraId="70205310" w14:textId="1BA82A6F" w:rsidR="0079628D" w:rsidRPr="003E389C" w:rsidRDefault="003E389C" w:rsidP="00F45778">
      <w:pPr>
        <w:pStyle w:val="Subtitle"/>
        <w:jc w:val="center"/>
        <w:rPr>
          <w:rFonts w:eastAsia="Georgia"/>
          <w:i/>
          <w:iCs/>
        </w:rPr>
      </w:pPr>
      <w:r>
        <w:rPr>
          <w:b/>
          <w:bCs/>
          <w:color w:val="auto"/>
          <w:sz w:val="24"/>
          <w:szCs w:val="24"/>
        </w:rPr>
        <w:br/>
      </w:r>
      <w:r w:rsidR="00F45778" w:rsidRPr="003E389C">
        <w:rPr>
          <w:b/>
          <w:bCs/>
          <w:i/>
          <w:iCs/>
          <w:color w:val="auto"/>
          <w:sz w:val="24"/>
          <w:szCs w:val="24"/>
        </w:rPr>
        <w:t>Toolkit Section</w:t>
      </w:r>
      <w:r w:rsidR="00F45778" w:rsidRPr="003E389C">
        <w:rPr>
          <w:i/>
          <w:iCs/>
          <w:color w:val="auto"/>
          <w:sz w:val="24"/>
          <w:szCs w:val="24"/>
        </w:rPr>
        <w:t xml:space="preserve">: </w:t>
      </w:r>
      <w:r w:rsidR="00F45778" w:rsidRPr="003E389C">
        <w:rPr>
          <w:rFonts w:eastAsia="Lato"/>
          <w:bCs/>
          <w:i/>
          <w:iCs/>
          <w:color w:val="auto"/>
          <w:sz w:val="24"/>
          <w:szCs w:val="24"/>
        </w:rPr>
        <w:t>Monitor Implementation and Impact</w:t>
      </w:r>
    </w:p>
    <w:p w14:paraId="231F8154" w14:textId="74FF7B95" w:rsidR="0079628D" w:rsidRPr="00F45778" w:rsidRDefault="00950269">
      <w:pPr>
        <w:rPr>
          <w:rFonts w:eastAsia="Georgia"/>
        </w:rPr>
      </w:pPr>
      <w:r>
        <w:rPr>
          <w:rFonts w:eastAsia="Georgia"/>
        </w:rPr>
        <w:t xml:space="preserve">It is recommended that </w:t>
      </w:r>
      <w:r w:rsidR="007B0F5A" w:rsidRPr="00F45778">
        <w:rPr>
          <w:rFonts w:eastAsia="Georgia"/>
        </w:rPr>
        <w:t>LEAs use</w:t>
      </w:r>
      <w:r w:rsidR="00BB21DD" w:rsidRPr="00F45778">
        <w:rPr>
          <w:rFonts w:eastAsia="Georgia"/>
        </w:rPr>
        <w:t xml:space="preserve"> a robust progress monitoring system:</w:t>
      </w:r>
    </w:p>
    <w:p w14:paraId="0AB13861" w14:textId="77777777" w:rsidR="0079628D" w:rsidRPr="00F45778" w:rsidRDefault="00BB21DD">
      <w:pPr>
        <w:numPr>
          <w:ilvl w:val="0"/>
          <w:numId w:val="1"/>
        </w:numPr>
        <w:pBdr>
          <w:top w:val="nil"/>
          <w:left w:val="nil"/>
          <w:bottom w:val="nil"/>
          <w:right w:val="nil"/>
          <w:between w:val="nil"/>
        </w:pBdr>
        <w:rPr>
          <w:rFonts w:eastAsia="Georgia"/>
          <w:color w:val="000000"/>
        </w:rPr>
      </w:pPr>
      <w:r w:rsidRPr="00F45778">
        <w:rPr>
          <w:rFonts w:eastAsia="Georgia"/>
          <w:color w:val="000000"/>
        </w:rPr>
        <w:t>A steering committee should meet once a week for at least 90 minutes to coordinate across all working groups and make final decisions (see meeting protocols in document D.3)</w:t>
      </w:r>
    </w:p>
    <w:p w14:paraId="4BCC91F1" w14:textId="0F3EAF9A" w:rsidR="0079628D" w:rsidRPr="00F45778" w:rsidRDefault="00BB21DD">
      <w:pPr>
        <w:numPr>
          <w:ilvl w:val="1"/>
          <w:numId w:val="1"/>
        </w:numPr>
        <w:pBdr>
          <w:top w:val="nil"/>
          <w:left w:val="nil"/>
          <w:bottom w:val="nil"/>
          <w:right w:val="nil"/>
          <w:between w:val="nil"/>
        </w:pBdr>
        <w:rPr>
          <w:rFonts w:eastAsia="Georgia"/>
          <w:color w:val="000000"/>
        </w:rPr>
      </w:pPr>
      <w:bookmarkStart w:id="0" w:name="_heading=h.gjdgxs" w:colFirst="0" w:colLast="0"/>
      <w:bookmarkEnd w:id="0"/>
      <w:r w:rsidRPr="00F45778">
        <w:rPr>
          <w:rFonts w:eastAsia="Georgia"/>
          <w:color w:val="000000"/>
        </w:rPr>
        <w:t>A budget update should be presented to the committee at every meeting – the update should include the current level of fiscal concern (low, medium, high)</w:t>
      </w:r>
      <w:r w:rsidR="00AE1B3A">
        <w:rPr>
          <w:rFonts w:eastAsia="Georgia"/>
          <w:color w:val="000000"/>
        </w:rPr>
        <w:t>.</w:t>
      </w:r>
    </w:p>
    <w:p w14:paraId="0207A6F1" w14:textId="72E355EC" w:rsidR="0079628D" w:rsidRPr="00F45778" w:rsidRDefault="00BB21DD">
      <w:pPr>
        <w:numPr>
          <w:ilvl w:val="1"/>
          <w:numId w:val="1"/>
        </w:numPr>
        <w:pBdr>
          <w:top w:val="nil"/>
          <w:left w:val="nil"/>
          <w:bottom w:val="nil"/>
          <w:right w:val="nil"/>
          <w:between w:val="nil"/>
        </w:pBdr>
        <w:rPr>
          <w:rFonts w:eastAsia="Georgia"/>
          <w:color w:val="000000"/>
        </w:rPr>
      </w:pPr>
      <w:r w:rsidRPr="00F45778">
        <w:rPr>
          <w:rFonts w:eastAsia="Georgia"/>
          <w:color w:val="000000"/>
        </w:rPr>
        <w:t>The committee should publish a weekly communication after its meetings to update stakeholders on progress toward goals (see document D.2 for a status dashboard that can be used)</w:t>
      </w:r>
      <w:r w:rsidR="00AE1B3A">
        <w:rPr>
          <w:rFonts w:eastAsia="Georgia"/>
          <w:color w:val="000000"/>
        </w:rPr>
        <w:t>.</w:t>
      </w:r>
    </w:p>
    <w:p w14:paraId="7A9C1D9A" w14:textId="16643AAB" w:rsidR="0079628D" w:rsidRPr="00F45778" w:rsidRDefault="00BB21DD">
      <w:pPr>
        <w:numPr>
          <w:ilvl w:val="1"/>
          <w:numId w:val="1"/>
        </w:numPr>
        <w:pBdr>
          <w:top w:val="nil"/>
          <w:left w:val="nil"/>
          <w:bottom w:val="nil"/>
          <w:right w:val="nil"/>
          <w:between w:val="nil"/>
        </w:pBdr>
        <w:rPr>
          <w:rFonts w:eastAsia="Georgia"/>
          <w:color w:val="000000"/>
        </w:rPr>
      </w:pPr>
      <w:r w:rsidRPr="00F45778">
        <w:rPr>
          <w:rFonts w:eastAsia="Georgia"/>
          <w:color w:val="000000"/>
        </w:rPr>
        <w:t>The committee should plan to meet throughout the first half of the school year to react to changes in the pandemic (meeting time may be shortened based on the landscape at the time)</w:t>
      </w:r>
      <w:r w:rsidR="00AE1B3A">
        <w:rPr>
          <w:rFonts w:eastAsia="Georgia"/>
          <w:color w:val="000000"/>
        </w:rPr>
        <w:t>.</w:t>
      </w:r>
    </w:p>
    <w:p w14:paraId="522883AC" w14:textId="77777777" w:rsidR="0079628D" w:rsidRPr="00F45778" w:rsidRDefault="00BB21DD">
      <w:pPr>
        <w:numPr>
          <w:ilvl w:val="0"/>
          <w:numId w:val="1"/>
        </w:numPr>
        <w:pBdr>
          <w:top w:val="nil"/>
          <w:left w:val="nil"/>
          <w:bottom w:val="nil"/>
          <w:right w:val="nil"/>
          <w:between w:val="nil"/>
        </w:pBdr>
        <w:rPr>
          <w:rFonts w:eastAsia="Georgia"/>
          <w:color w:val="000000"/>
        </w:rPr>
      </w:pPr>
      <w:r w:rsidRPr="00F45778">
        <w:rPr>
          <w:rFonts w:eastAsia="Georgia"/>
          <w:color w:val="000000"/>
        </w:rPr>
        <w:t>Working groups meet frequently throughout the summer (minimum weekly, most likely 2-3 times per week) to work through assigned Critical Readiness Factors</w:t>
      </w:r>
    </w:p>
    <w:p w14:paraId="77504F72" w14:textId="5DE87451" w:rsidR="0079628D" w:rsidRPr="00F45778" w:rsidRDefault="00BB21DD">
      <w:pPr>
        <w:numPr>
          <w:ilvl w:val="1"/>
          <w:numId w:val="1"/>
        </w:numPr>
        <w:pBdr>
          <w:top w:val="nil"/>
          <w:left w:val="nil"/>
          <w:bottom w:val="nil"/>
          <w:right w:val="nil"/>
          <w:between w:val="nil"/>
        </w:pBdr>
        <w:rPr>
          <w:rFonts w:eastAsia="Georgia"/>
          <w:color w:val="000000"/>
        </w:rPr>
      </w:pPr>
      <w:r w:rsidRPr="00F45778">
        <w:rPr>
          <w:rFonts w:eastAsia="Georgia"/>
          <w:color w:val="000000"/>
        </w:rPr>
        <w:t xml:space="preserve">The exact working groups will vary based on LEA size and roles, but at a minimum, </w:t>
      </w:r>
      <w:r w:rsidR="007B0F5A" w:rsidRPr="00F45778">
        <w:rPr>
          <w:rFonts w:eastAsia="Georgia"/>
          <w:color w:val="000000"/>
        </w:rPr>
        <w:t>there should be</w:t>
      </w:r>
      <w:r w:rsidRPr="00F45778">
        <w:rPr>
          <w:rFonts w:eastAsia="Georgia"/>
          <w:color w:val="000000"/>
        </w:rPr>
        <w:t xml:space="preserve"> groups focused on Operations (may or may not include Health &amp; Safety</w:t>
      </w:r>
      <w:r w:rsidR="007B0F5A" w:rsidRPr="00F45778">
        <w:rPr>
          <w:rFonts w:eastAsia="Georgia"/>
          <w:color w:val="000000"/>
        </w:rPr>
        <w:t>, which could be its own group</w:t>
      </w:r>
      <w:r w:rsidRPr="00F45778">
        <w:rPr>
          <w:rFonts w:eastAsia="Georgia"/>
          <w:color w:val="000000"/>
        </w:rPr>
        <w:t>), Academics, Mental &amp; Social-Emotional Health, and Community Engagement</w:t>
      </w:r>
      <w:r w:rsidR="00AE1B3A">
        <w:rPr>
          <w:rFonts w:eastAsia="Georgia"/>
          <w:color w:val="000000"/>
        </w:rPr>
        <w:t>.</w:t>
      </w:r>
    </w:p>
    <w:p w14:paraId="5F04D32E" w14:textId="39C32A68" w:rsidR="0079628D" w:rsidRPr="00F45778" w:rsidRDefault="00BB21DD">
      <w:pPr>
        <w:numPr>
          <w:ilvl w:val="1"/>
          <w:numId w:val="1"/>
        </w:numPr>
        <w:pBdr>
          <w:top w:val="nil"/>
          <w:left w:val="nil"/>
          <w:bottom w:val="nil"/>
          <w:right w:val="nil"/>
          <w:between w:val="nil"/>
        </w:pBdr>
        <w:rPr>
          <w:rFonts w:eastAsia="Georgia"/>
          <w:color w:val="000000"/>
        </w:rPr>
      </w:pPr>
      <w:r w:rsidRPr="00F45778">
        <w:rPr>
          <w:rFonts w:eastAsia="Georgia"/>
          <w:color w:val="000000"/>
        </w:rPr>
        <w:t>Each working group should have a representative from the steering committee, which may or may not be the chair</w:t>
      </w:r>
      <w:r w:rsidR="00AE1B3A">
        <w:rPr>
          <w:rFonts w:eastAsia="Georgia"/>
          <w:color w:val="000000"/>
        </w:rPr>
        <w:t>.</w:t>
      </w:r>
    </w:p>
    <w:p w14:paraId="572674D6" w14:textId="77777777" w:rsidR="0079628D" w:rsidRPr="00F45778" w:rsidRDefault="00BB21DD">
      <w:pPr>
        <w:numPr>
          <w:ilvl w:val="0"/>
          <w:numId w:val="1"/>
        </w:numPr>
        <w:pBdr>
          <w:top w:val="nil"/>
          <w:left w:val="nil"/>
          <w:bottom w:val="nil"/>
          <w:right w:val="nil"/>
          <w:between w:val="nil"/>
        </w:pBdr>
        <w:rPr>
          <w:rFonts w:eastAsia="Georgia"/>
          <w:color w:val="000000"/>
        </w:rPr>
      </w:pPr>
      <w:r w:rsidRPr="00F45778">
        <w:rPr>
          <w:rFonts w:eastAsia="Georgia"/>
          <w:color w:val="000000"/>
        </w:rPr>
        <w:t>All working groups should use a common Action Tracker (document D.1) that allows senior leaders to easily see progress and hold groups accountable</w:t>
      </w:r>
    </w:p>
    <w:p w14:paraId="795D0982" w14:textId="6AD776D4" w:rsidR="0079628D" w:rsidRPr="00F45778" w:rsidRDefault="00BB21DD">
      <w:pPr>
        <w:numPr>
          <w:ilvl w:val="1"/>
          <w:numId w:val="1"/>
        </w:numPr>
        <w:pBdr>
          <w:top w:val="nil"/>
          <w:left w:val="nil"/>
          <w:bottom w:val="nil"/>
          <w:right w:val="nil"/>
          <w:between w:val="nil"/>
        </w:pBdr>
        <w:rPr>
          <w:rFonts w:eastAsia="Georgia"/>
          <w:color w:val="000000"/>
        </w:rPr>
      </w:pPr>
      <w:r w:rsidRPr="00F45778">
        <w:rPr>
          <w:rFonts w:eastAsia="Georgia"/>
          <w:color w:val="000000"/>
        </w:rPr>
        <w:t>The Action Tracker should be updated daily</w:t>
      </w:r>
      <w:r w:rsidR="00AE1B3A">
        <w:rPr>
          <w:rFonts w:eastAsia="Georgia"/>
          <w:color w:val="000000"/>
        </w:rPr>
        <w:t>.</w:t>
      </w:r>
    </w:p>
    <w:sectPr w:rsidR="0079628D" w:rsidRPr="00F45778">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5EE8B" w14:textId="77777777" w:rsidR="00372FF1" w:rsidRDefault="00372FF1">
      <w:pPr>
        <w:spacing w:line="240" w:lineRule="auto"/>
      </w:pPr>
      <w:r>
        <w:separator/>
      </w:r>
    </w:p>
  </w:endnote>
  <w:endnote w:type="continuationSeparator" w:id="0">
    <w:p w14:paraId="3B0659EE" w14:textId="77777777" w:rsidR="00372FF1" w:rsidRDefault="0037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2272962"/>
      <w:docPartObj>
        <w:docPartGallery w:val="Page Numbers (Bottom of Page)"/>
        <w:docPartUnique/>
      </w:docPartObj>
    </w:sdtPr>
    <w:sdtEndPr>
      <w:rPr>
        <w:rStyle w:val="PageNumber"/>
      </w:rPr>
    </w:sdtEndPr>
    <w:sdtContent>
      <w:p w14:paraId="04AED03B" w14:textId="0F844303" w:rsidR="00992E95" w:rsidRDefault="00992E95"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25334" w14:textId="77777777" w:rsidR="00992E95" w:rsidRDefault="00992E95" w:rsidP="00992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Lato" w:hAnsi="Lato"/>
      </w:rPr>
      <w:id w:val="1464310929"/>
      <w:docPartObj>
        <w:docPartGallery w:val="Page Numbers (Bottom of Page)"/>
        <w:docPartUnique/>
      </w:docPartObj>
    </w:sdtPr>
    <w:sdtEndPr>
      <w:rPr>
        <w:rStyle w:val="PageNumber"/>
      </w:rPr>
    </w:sdtEndPr>
    <w:sdtContent>
      <w:p w14:paraId="1066E04A" w14:textId="033C8CA6" w:rsidR="00992E95" w:rsidRPr="00992E95" w:rsidRDefault="00992E95" w:rsidP="00382DCC">
        <w:pPr>
          <w:pStyle w:val="Footer"/>
          <w:framePr w:wrap="none" w:vAnchor="text" w:hAnchor="margin" w:xAlign="right" w:y="1"/>
          <w:rPr>
            <w:rStyle w:val="PageNumber"/>
            <w:rFonts w:ascii="Lato" w:hAnsi="Lato"/>
          </w:rPr>
        </w:pPr>
        <w:r w:rsidRPr="00992E95">
          <w:rPr>
            <w:rStyle w:val="PageNumber"/>
            <w:rFonts w:ascii="Lato" w:hAnsi="Lato"/>
          </w:rPr>
          <w:fldChar w:fldCharType="begin"/>
        </w:r>
        <w:r w:rsidRPr="00992E95">
          <w:rPr>
            <w:rStyle w:val="PageNumber"/>
            <w:rFonts w:ascii="Lato" w:hAnsi="Lato"/>
          </w:rPr>
          <w:instrText xml:space="preserve"> PAGE </w:instrText>
        </w:r>
        <w:r w:rsidRPr="00992E95">
          <w:rPr>
            <w:rStyle w:val="PageNumber"/>
            <w:rFonts w:ascii="Lato" w:hAnsi="Lato"/>
          </w:rPr>
          <w:fldChar w:fldCharType="separate"/>
        </w:r>
        <w:r w:rsidRPr="00992E95">
          <w:rPr>
            <w:rStyle w:val="PageNumber"/>
            <w:rFonts w:ascii="Lato" w:hAnsi="Lato"/>
            <w:noProof/>
          </w:rPr>
          <w:t>1</w:t>
        </w:r>
        <w:r w:rsidRPr="00992E95">
          <w:rPr>
            <w:rStyle w:val="PageNumber"/>
            <w:rFonts w:ascii="Lato" w:hAnsi="Lato"/>
          </w:rPr>
          <w:fldChar w:fldCharType="end"/>
        </w:r>
      </w:p>
    </w:sdtContent>
  </w:sdt>
  <w:p w14:paraId="23D729AF" w14:textId="77777777" w:rsidR="00992E95" w:rsidRDefault="00992E95" w:rsidP="00992E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BDA4" w14:textId="77777777" w:rsidR="00372FF1" w:rsidRDefault="00372FF1">
      <w:pPr>
        <w:spacing w:line="240" w:lineRule="auto"/>
      </w:pPr>
      <w:r>
        <w:separator/>
      </w:r>
    </w:p>
  </w:footnote>
  <w:footnote w:type="continuationSeparator" w:id="0">
    <w:p w14:paraId="5E63065D" w14:textId="77777777" w:rsidR="00372FF1" w:rsidRDefault="0037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AAD2" w14:textId="77777777" w:rsidR="0079628D" w:rsidRDefault="0079628D">
    <w:pPr>
      <w:rPr>
        <w:rFonts w:ascii="Lato" w:eastAsia="Lato" w:hAnsi="Lato" w:cs="Lato"/>
      </w:rPr>
    </w:pPr>
  </w:p>
  <w:tbl>
    <w:tblPr>
      <w:tblStyle w:val="TableGrid"/>
      <w:tblW w:w="13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gridCol w:w="3955"/>
    </w:tblGrid>
    <w:tr w:rsidR="00965EAD" w14:paraId="50E68382" w14:textId="77777777" w:rsidTr="00F45778">
      <w:tc>
        <w:tcPr>
          <w:tcW w:w="9440" w:type="dxa"/>
        </w:tcPr>
        <w:p w14:paraId="5B4E61B4" w14:textId="77777777" w:rsidR="00965EAD" w:rsidRPr="00F45778" w:rsidRDefault="00965EAD" w:rsidP="00965EAD">
          <w:pPr>
            <w:pStyle w:val="Header"/>
            <w:rPr>
              <w:rFonts w:ascii="Arial" w:hAnsi="Arial" w:cs="Arial"/>
              <w:color w:val="595959" w:themeColor="text1" w:themeTint="A6"/>
              <w:sz w:val="20"/>
              <w:szCs w:val="20"/>
            </w:rPr>
          </w:pPr>
          <w:r w:rsidRPr="00F45778">
            <w:rPr>
              <w:rFonts w:ascii="Arial" w:hAnsi="Arial" w:cs="Arial"/>
              <w:color w:val="595959" w:themeColor="text1" w:themeTint="A6"/>
              <w:sz w:val="20"/>
              <w:szCs w:val="20"/>
            </w:rPr>
            <w:t>Selecting &amp; Implementing an Instructional Delivery Model for SY20-21: Toolkit for Pennsylvania LEAs</w:t>
          </w:r>
        </w:p>
      </w:tc>
      <w:tc>
        <w:tcPr>
          <w:tcW w:w="3955" w:type="dxa"/>
        </w:tcPr>
        <w:p w14:paraId="69071CBE" w14:textId="5EB71EEA" w:rsidR="00965EAD" w:rsidRDefault="00965EAD" w:rsidP="00965EAD">
          <w:pPr>
            <w:pStyle w:val="Header"/>
            <w:jc w:val="right"/>
          </w:pPr>
        </w:p>
      </w:tc>
    </w:tr>
  </w:tbl>
  <w:p w14:paraId="7DB27A8A" w14:textId="77777777" w:rsidR="0079628D" w:rsidRDefault="00796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651A3"/>
    <w:multiLevelType w:val="multilevel"/>
    <w:tmpl w:val="44DC11FA"/>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8D"/>
    <w:rsid w:val="002E0413"/>
    <w:rsid w:val="00372FF1"/>
    <w:rsid w:val="003E389C"/>
    <w:rsid w:val="00527FE4"/>
    <w:rsid w:val="00601012"/>
    <w:rsid w:val="00695E32"/>
    <w:rsid w:val="007952B9"/>
    <w:rsid w:val="0079628D"/>
    <w:rsid w:val="007B0F5A"/>
    <w:rsid w:val="00950269"/>
    <w:rsid w:val="00965EAD"/>
    <w:rsid w:val="00992E95"/>
    <w:rsid w:val="009D7DE2"/>
    <w:rsid w:val="00AD23D5"/>
    <w:rsid w:val="00AE1B3A"/>
    <w:rsid w:val="00BB21DD"/>
    <w:rsid w:val="00BF6C28"/>
    <w:rsid w:val="00C22F72"/>
    <w:rsid w:val="00CA4A0D"/>
    <w:rsid w:val="00F13FF3"/>
    <w:rsid w:val="00F45778"/>
    <w:rsid w:val="00F51C27"/>
    <w:rsid w:val="00F52249"/>
    <w:rsid w:val="00F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0F85"/>
  <w15:docId w15:val="{69745740-BDA4-458B-B5BA-53F8E8E1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483A"/>
    <w:pPr>
      <w:tabs>
        <w:tab w:val="center" w:pos="4680"/>
        <w:tab w:val="right" w:pos="9360"/>
      </w:tabs>
      <w:spacing w:line="240" w:lineRule="auto"/>
    </w:pPr>
  </w:style>
  <w:style w:type="character" w:customStyle="1" w:styleId="HeaderChar">
    <w:name w:val="Header Char"/>
    <w:basedOn w:val="DefaultParagraphFont"/>
    <w:link w:val="Header"/>
    <w:uiPriority w:val="99"/>
    <w:rsid w:val="0010483A"/>
  </w:style>
  <w:style w:type="paragraph" w:styleId="Footer">
    <w:name w:val="footer"/>
    <w:basedOn w:val="Normal"/>
    <w:link w:val="FooterChar"/>
    <w:uiPriority w:val="99"/>
    <w:unhideWhenUsed/>
    <w:rsid w:val="0010483A"/>
    <w:pPr>
      <w:tabs>
        <w:tab w:val="center" w:pos="4680"/>
        <w:tab w:val="right" w:pos="9360"/>
      </w:tabs>
      <w:spacing w:line="240" w:lineRule="auto"/>
    </w:pPr>
  </w:style>
  <w:style w:type="character" w:customStyle="1" w:styleId="FooterChar">
    <w:name w:val="Footer Char"/>
    <w:basedOn w:val="DefaultParagraphFont"/>
    <w:link w:val="Footer"/>
    <w:uiPriority w:val="99"/>
    <w:rsid w:val="0010483A"/>
  </w:style>
  <w:style w:type="paragraph" w:styleId="ListParagraph">
    <w:name w:val="List Paragraph"/>
    <w:basedOn w:val="Normal"/>
    <w:uiPriority w:val="34"/>
    <w:qFormat/>
    <w:rsid w:val="00C91B0C"/>
    <w:pPr>
      <w:ind w:left="720"/>
      <w:contextualSpacing/>
    </w:pPr>
  </w:style>
  <w:style w:type="paragraph" w:styleId="FootnoteText">
    <w:name w:val="footnote text"/>
    <w:basedOn w:val="Normal"/>
    <w:link w:val="FootnoteTextChar"/>
    <w:uiPriority w:val="99"/>
    <w:semiHidden/>
    <w:unhideWhenUsed/>
    <w:rsid w:val="00A309EF"/>
    <w:pPr>
      <w:spacing w:line="240" w:lineRule="auto"/>
    </w:pPr>
    <w:rPr>
      <w:sz w:val="20"/>
      <w:szCs w:val="20"/>
    </w:rPr>
  </w:style>
  <w:style w:type="character" w:customStyle="1" w:styleId="FootnoteTextChar">
    <w:name w:val="Footnote Text Char"/>
    <w:basedOn w:val="DefaultParagraphFont"/>
    <w:link w:val="FootnoteText"/>
    <w:uiPriority w:val="99"/>
    <w:semiHidden/>
    <w:rsid w:val="00A309EF"/>
    <w:rPr>
      <w:sz w:val="20"/>
      <w:szCs w:val="20"/>
    </w:rPr>
  </w:style>
  <w:style w:type="character" w:styleId="FootnoteReference">
    <w:name w:val="footnote reference"/>
    <w:basedOn w:val="DefaultParagraphFont"/>
    <w:uiPriority w:val="99"/>
    <w:semiHidden/>
    <w:unhideWhenUsed/>
    <w:rsid w:val="00A309EF"/>
    <w:rPr>
      <w:vertAlign w:val="superscript"/>
    </w:rPr>
  </w:style>
  <w:style w:type="character" w:styleId="Hyperlink">
    <w:name w:val="Hyperlink"/>
    <w:basedOn w:val="DefaultParagraphFont"/>
    <w:uiPriority w:val="99"/>
    <w:unhideWhenUsed/>
    <w:rsid w:val="00A309EF"/>
    <w:rPr>
      <w:color w:val="0000FF" w:themeColor="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65EA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92E95"/>
  </w:style>
  <w:style w:type="character" w:customStyle="1" w:styleId="TitleChar">
    <w:name w:val="Title Char"/>
    <w:basedOn w:val="DefaultParagraphFont"/>
    <w:link w:val="Title"/>
    <w:uiPriority w:val="10"/>
    <w:rsid w:val="00F45778"/>
    <w:rPr>
      <w:sz w:val="52"/>
      <w:szCs w:val="52"/>
    </w:rPr>
  </w:style>
  <w:style w:type="character" w:customStyle="1" w:styleId="SubtitleChar">
    <w:name w:val="Subtitle Char"/>
    <w:basedOn w:val="DefaultParagraphFont"/>
    <w:link w:val="Subtitle"/>
    <w:uiPriority w:val="11"/>
    <w:rsid w:val="00F45778"/>
    <w:rPr>
      <w:color w:val="666666"/>
      <w:sz w:val="30"/>
      <w:szCs w:val="30"/>
    </w:rPr>
  </w:style>
  <w:style w:type="paragraph" w:styleId="BalloonText">
    <w:name w:val="Balloon Text"/>
    <w:basedOn w:val="Normal"/>
    <w:link w:val="BalloonTextChar"/>
    <w:uiPriority w:val="99"/>
    <w:semiHidden/>
    <w:unhideWhenUsed/>
    <w:rsid w:val="003E38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hQUPNoazIPnLflZpB2o9fewBPg==">AMUW2mWo6n/BVBv0stkbACglNOqnaJUhzCTwgPvoYDCMu9TGZ7vsYSen3pakBi7mwRQcrjYurzLuxlxztfQ9GmquxEh7b6Ew1q4QliJ1URLFYa2U+K46mIR2f4QrJDCJmwtimkYANqbc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6A21C3-1D63-4760-AEDA-4C0D0AD6D345}"/>
</file>

<file path=customXml/itemProps3.xml><?xml version="1.0" encoding="utf-8"?>
<ds:datastoreItem xmlns:ds="http://schemas.openxmlformats.org/officeDocument/2006/customXml" ds:itemID="{1C7A3772-ED33-46F6-980B-FCB32AF53DAE}"/>
</file>

<file path=customXml/itemProps4.xml><?xml version="1.0" encoding="utf-8"?>
<ds:datastoreItem xmlns:ds="http://schemas.openxmlformats.org/officeDocument/2006/customXml" ds:itemID="{04F09680-9887-4D24-9B7F-A5F43B268FA2}"/>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1327</Characters>
  <Application>Microsoft Office Word</Application>
  <DocSecurity>0</DocSecurity>
  <Lines>11</Lines>
  <Paragraphs>3</Paragraphs>
  <ScaleCrop>false</ScaleCrop>
  <Company>HP Inc.</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Monitoring</dc:title>
  <dc:creator>Drew</dc:creator>
  <cp:lastModifiedBy>Dukert, Tracey</cp:lastModifiedBy>
  <cp:revision>3</cp:revision>
  <dcterms:created xsi:type="dcterms:W3CDTF">2020-07-26T18:03:00Z</dcterms:created>
  <dcterms:modified xsi:type="dcterms:W3CDTF">2020-07-27T14:31:00Z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