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D0B" w:rsidRPr="003F324E" w:rsidRDefault="00DE3D0B" w:rsidP="00DE3D0B">
      <w:pPr>
        <w:pStyle w:val="Header"/>
        <w:jc w:val="center"/>
        <w:rPr>
          <w:rFonts w:ascii="Arial" w:hAnsi="Arial" w:cs="Arial"/>
          <w:b/>
          <w:sz w:val="24"/>
        </w:rPr>
      </w:pPr>
      <w:r w:rsidRPr="003F324E">
        <w:rPr>
          <w:rFonts w:ascii="Arial" w:hAnsi="Arial" w:cs="Arial"/>
          <w:b/>
          <w:sz w:val="24"/>
        </w:rPr>
        <w:t>XXXX COUNTY COURT OF COMMON PLEAS</w:t>
      </w:r>
    </w:p>
    <w:p w:rsidR="00DE3D0B" w:rsidRDefault="00734710" w:rsidP="00DE3D0B">
      <w:pPr>
        <w:pStyle w:val="Header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JUVENILE PROBATION OFFICER</w:t>
      </w:r>
      <w:r w:rsidR="00DE3D0B" w:rsidRPr="003F324E">
        <w:rPr>
          <w:rFonts w:ascii="Arial" w:hAnsi="Arial" w:cs="Arial"/>
          <w:b/>
          <w:sz w:val="24"/>
        </w:rPr>
        <w:t xml:space="preserve"> PERFORMANCE APPRAISAL FORM</w:t>
      </w:r>
    </w:p>
    <w:p w:rsidR="00DE3D0B" w:rsidRPr="003F324E" w:rsidRDefault="00DE3D0B" w:rsidP="00DE3D0B">
      <w:pPr>
        <w:pStyle w:val="Header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45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350"/>
        <w:gridCol w:w="4320"/>
        <w:gridCol w:w="1350"/>
        <w:gridCol w:w="3960"/>
        <w:gridCol w:w="3600"/>
      </w:tblGrid>
      <w:tr w:rsidR="006C5449" w:rsidTr="003F324E">
        <w:trPr>
          <w:trHeight w:val="296"/>
        </w:trPr>
        <w:tc>
          <w:tcPr>
            <w:tcW w:w="1350" w:type="dxa"/>
            <w:vAlign w:val="center"/>
          </w:tcPr>
          <w:p w:rsidR="006C5449" w:rsidRPr="00122366" w:rsidRDefault="006C5449" w:rsidP="003F324E">
            <w:pPr>
              <w:jc w:val="center"/>
              <w:rPr>
                <w:rFonts w:ascii="Arial" w:hAnsi="Arial" w:cs="Arial"/>
                <w:sz w:val="20"/>
              </w:rPr>
            </w:pPr>
            <w:r w:rsidRPr="00122366">
              <w:rPr>
                <w:rFonts w:ascii="Arial" w:hAnsi="Arial" w:cs="Arial"/>
                <w:sz w:val="20"/>
              </w:rPr>
              <w:t>Employee:</w:t>
            </w:r>
          </w:p>
        </w:tc>
        <w:tc>
          <w:tcPr>
            <w:tcW w:w="4320" w:type="dxa"/>
          </w:tcPr>
          <w:p w:rsidR="006C5449" w:rsidRPr="00E6129E" w:rsidRDefault="006C5449" w:rsidP="00D8431D">
            <w:pPr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C5449" w:rsidRPr="00122366" w:rsidRDefault="006C5449" w:rsidP="003F324E">
            <w:pPr>
              <w:jc w:val="center"/>
              <w:rPr>
                <w:rFonts w:ascii="Arial" w:hAnsi="Arial" w:cs="Arial"/>
                <w:sz w:val="20"/>
              </w:rPr>
            </w:pPr>
            <w:r w:rsidRPr="00122366">
              <w:rPr>
                <w:rFonts w:ascii="Arial" w:hAnsi="Arial" w:cs="Arial"/>
                <w:sz w:val="20"/>
              </w:rPr>
              <w:t>Job Title:</w:t>
            </w:r>
          </w:p>
        </w:tc>
        <w:tc>
          <w:tcPr>
            <w:tcW w:w="3960" w:type="dxa"/>
          </w:tcPr>
          <w:p w:rsidR="006C5449" w:rsidRPr="00E6129E" w:rsidRDefault="006C5449" w:rsidP="00D8431D">
            <w:pPr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:rsidR="006C5449" w:rsidRPr="00122366" w:rsidRDefault="006C5449" w:rsidP="00D8431D">
            <w:pPr>
              <w:jc w:val="center"/>
              <w:rPr>
                <w:rFonts w:ascii="Arial" w:hAnsi="Arial" w:cs="Arial"/>
                <w:sz w:val="20"/>
              </w:rPr>
            </w:pPr>
            <w:r w:rsidRPr="00122366">
              <w:rPr>
                <w:rFonts w:ascii="Arial" w:hAnsi="Arial" w:cs="Arial"/>
                <w:sz w:val="20"/>
              </w:rPr>
              <w:t>Evaluation Period:</w:t>
            </w:r>
          </w:p>
        </w:tc>
      </w:tr>
      <w:tr w:rsidR="003F324E" w:rsidTr="003F324E">
        <w:trPr>
          <w:trHeight w:val="323"/>
        </w:trPr>
        <w:tc>
          <w:tcPr>
            <w:tcW w:w="1350" w:type="dxa"/>
            <w:vAlign w:val="center"/>
          </w:tcPr>
          <w:p w:rsidR="003F324E" w:rsidRPr="00122366" w:rsidRDefault="003F324E" w:rsidP="003F324E">
            <w:pPr>
              <w:jc w:val="center"/>
              <w:rPr>
                <w:rFonts w:ascii="Arial" w:hAnsi="Arial" w:cs="Arial"/>
                <w:sz w:val="20"/>
              </w:rPr>
            </w:pPr>
            <w:r w:rsidRPr="00122366">
              <w:rPr>
                <w:rFonts w:ascii="Arial" w:hAnsi="Arial" w:cs="Arial"/>
                <w:sz w:val="20"/>
              </w:rPr>
              <w:t>Supervisor:</w:t>
            </w:r>
          </w:p>
        </w:tc>
        <w:tc>
          <w:tcPr>
            <w:tcW w:w="4320" w:type="dxa"/>
            <w:vAlign w:val="center"/>
          </w:tcPr>
          <w:p w:rsidR="003F324E" w:rsidRPr="00E6129E" w:rsidRDefault="003F324E" w:rsidP="003F324E">
            <w:pPr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F324E" w:rsidRPr="00E6129E" w:rsidRDefault="003F324E" w:rsidP="003F3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Hire:</w:t>
            </w:r>
          </w:p>
        </w:tc>
        <w:tc>
          <w:tcPr>
            <w:tcW w:w="3960" w:type="dxa"/>
            <w:vAlign w:val="center"/>
          </w:tcPr>
          <w:p w:rsidR="003F324E" w:rsidRPr="00E6129E" w:rsidRDefault="003F324E" w:rsidP="003F324E">
            <w:pPr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3F324E" w:rsidRPr="00E6129E" w:rsidRDefault="003F324E" w:rsidP="003F324E">
            <w:pPr>
              <w:jc w:val="center"/>
              <w:rPr>
                <w:rFonts w:ascii="Arial" w:hAnsi="Arial" w:cs="Arial"/>
                <w:sz w:val="20"/>
              </w:rPr>
            </w:pP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12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-144" w:tblpY="225"/>
        <w:tblW w:w="14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8"/>
      </w:tblGrid>
      <w:tr w:rsidR="006C5449" w:rsidTr="00954807">
        <w:tc>
          <w:tcPr>
            <w:tcW w:w="14598" w:type="dxa"/>
          </w:tcPr>
          <w:p w:rsidR="006C5449" w:rsidRPr="003F324E" w:rsidRDefault="006C5449" w:rsidP="006C5449">
            <w:pPr>
              <w:jc w:val="center"/>
              <w:rPr>
                <w:rFonts w:ascii="Arial" w:hAnsi="Arial" w:cs="Arial"/>
                <w:b/>
              </w:rPr>
            </w:pPr>
            <w:r w:rsidRPr="003F324E">
              <w:rPr>
                <w:rFonts w:ascii="Arial" w:hAnsi="Arial" w:cs="Arial"/>
                <w:b/>
              </w:rPr>
              <w:t>OBJECTIVES OF THE PERFORMANCE APPRAISAL</w:t>
            </w:r>
          </w:p>
        </w:tc>
      </w:tr>
      <w:tr w:rsidR="006C5449" w:rsidTr="00DE3D0B">
        <w:trPr>
          <w:trHeight w:val="105"/>
        </w:trPr>
        <w:tc>
          <w:tcPr>
            <w:tcW w:w="14598" w:type="dxa"/>
          </w:tcPr>
          <w:p w:rsidR="006C5449" w:rsidRPr="00122366" w:rsidRDefault="006C5449" w:rsidP="006C5449">
            <w:pPr>
              <w:rPr>
                <w:rFonts w:ascii="Arial" w:hAnsi="Arial" w:cs="Arial"/>
                <w:sz w:val="10"/>
              </w:rPr>
            </w:pPr>
          </w:p>
        </w:tc>
      </w:tr>
      <w:tr w:rsidR="006C5449" w:rsidTr="003F324E">
        <w:trPr>
          <w:trHeight w:val="1275"/>
        </w:trPr>
        <w:tc>
          <w:tcPr>
            <w:tcW w:w="14598" w:type="dxa"/>
          </w:tcPr>
          <w:p w:rsidR="006C5449" w:rsidRPr="003F324E" w:rsidRDefault="00FC2802" w:rsidP="001D7DD5">
            <w:pPr>
              <w:rPr>
                <w:rFonts w:ascii="Arial" w:hAnsi="Arial" w:cs="Arial"/>
                <w:sz w:val="24"/>
                <w:szCs w:val="24"/>
              </w:rPr>
            </w:pPr>
            <w:r w:rsidRPr="003F324E">
              <w:rPr>
                <w:rFonts w:ascii="Arial" w:hAnsi="Arial" w:cs="Arial"/>
                <w:sz w:val="24"/>
                <w:szCs w:val="24"/>
              </w:rPr>
              <w:t xml:space="preserve">The purpose of this performance appraisal is to maximize job effectiveness and competency by highlighting strengths and accomplishments, assessing skill development proficiency, identifying areas for improvement and setting goals and </w:t>
            </w:r>
            <w:r w:rsidR="001D7DD5">
              <w:rPr>
                <w:rFonts w:ascii="Arial" w:hAnsi="Arial" w:cs="Arial"/>
                <w:sz w:val="24"/>
                <w:szCs w:val="24"/>
              </w:rPr>
              <w:t>objectives</w:t>
            </w:r>
            <w:r w:rsidRPr="003F324E">
              <w:rPr>
                <w:rFonts w:ascii="Arial" w:hAnsi="Arial" w:cs="Arial"/>
                <w:sz w:val="24"/>
                <w:szCs w:val="24"/>
              </w:rPr>
              <w:t xml:space="preserve"> between the employee and the department. This instrument is intended to help facilitate meaningful communication between the supervisor and the employee regarding job performance and expectations.</w:t>
            </w:r>
          </w:p>
        </w:tc>
      </w:tr>
    </w:tbl>
    <w:tbl>
      <w:tblPr>
        <w:tblStyle w:val="TableGrid1"/>
        <w:tblW w:w="145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10"/>
        <w:gridCol w:w="13140"/>
      </w:tblGrid>
      <w:tr w:rsidR="007F19F2" w:rsidRPr="006C5449" w:rsidTr="005A1074">
        <w:trPr>
          <w:trHeight w:val="333"/>
        </w:trPr>
        <w:tc>
          <w:tcPr>
            <w:tcW w:w="14580" w:type="dxa"/>
            <w:gridSpan w:val="3"/>
            <w:vAlign w:val="bottom"/>
          </w:tcPr>
          <w:p w:rsidR="007F19F2" w:rsidRPr="003F324E" w:rsidRDefault="007F19F2" w:rsidP="005A1074">
            <w:pPr>
              <w:jc w:val="center"/>
              <w:rPr>
                <w:rFonts w:ascii="Arial" w:hAnsi="Arial" w:cs="Arial"/>
                <w:b/>
              </w:rPr>
            </w:pPr>
            <w:r w:rsidRPr="003F324E">
              <w:rPr>
                <w:rFonts w:ascii="Arial" w:hAnsi="Arial" w:cs="Arial"/>
                <w:b/>
              </w:rPr>
              <w:t>PERFORMANCE RATING DEFINITIONS</w:t>
            </w:r>
          </w:p>
        </w:tc>
      </w:tr>
      <w:tr w:rsidR="007F19F2" w:rsidRPr="006C5449" w:rsidTr="00954807">
        <w:trPr>
          <w:trHeight w:val="108"/>
        </w:trPr>
        <w:tc>
          <w:tcPr>
            <w:tcW w:w="14580" w:type="dxa"/>
            <w:gridSpan w:val="3"/>
            <w:tcBorders>
              <w:bottom w:val="single" w:sz="4" w:space="0" w:color="auto"/>
            </w:tcBorders>
          </w:tcPr>
          <w:p w:rsidR="007F19F2" w:rsidRPr="006C5449" w:rsidRDefault="007F19F2" w:rsidP="006C5449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7F19F2" w:rsidRPr="006C5449" w:rsidTr="00C24483">
        <w:trPr>
          <w:trHeight w:val="332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F2" w:rsidRPr="006C5449" w:rsidRDefault="007F19F2" w:rsidP="006C5449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6C5449">
              <w:rPr>
                <w:rFonts w:ascii="Arial" w:hAnsi="Arial" w:cs="Arial"/>
                <w:b/>
                <w:sz w:val="20"/>
                <w:u w:val="single"/>
              </w:rPr>
              <w:t>RATING CODES</w:t>
            </w:r>
          </w:p>
        </w:tc>
      </w:tr>
      <w:tr w:rsidR="007F19F2" w:rsidRPr="006C5449" w:rsidTr="00954807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SEE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SUBSTANTIALLY EXCEEDS EXPECTATIONS: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A rare performance level.  Overall performance far exceeded expectations and had significant impact on the department’s overall performance.  Employees receiving this rating are clear role models.</w:t>
            </w:r>
          </w:p>
        </w:tc>
      </w:tr>
      <w:tr w:rsidR="007F19F2" w:rsidRPr="006C5449" w:rsidTr="00954807">
        <w:trPr>
          <w:trHeight w:val="4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EE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EXCEEDS EXPECTATIONS: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Consistently meets and frequently exceeds job requirements or expectations; highly effective and results oriented.</w:t>
            </w:r>
          </w:p>
        </w:tc>
      </w:tr>
      <w:tr w:rsidR="007F19F2" w:rsidRPr="006C5449" w:rsidTr="00954807">
        <w:trPr>
          <w:trHeight w:val="4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EA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CA146E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EXPECTATIONS ACHIEVED: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Meets job requirements in a competent ma</w:t>
            </w:r>
            <w:r w:rsidR="00CA146E">
              <w:rPr>
                <w:rFonts w:ascii="Arial" w:hAnsi="Arial" w:cs="Arial"/>
                <w:sz w:val="20"/>
                <w:szCs w:val="20"/>
              </w:rPr>
              <w:t>nn</w:t>
            </w:r>
            <w:r w:rsidRPr="003F324E">
              <w:rPr>
                <w:rFonts w:ascii="Arial" w:hAnsi="Arial" w:cs="Arial"/>
                <w:sz w:val="20"/>
                <w:szCs w:val="20"/>
              </w:rPr>
              <w:t>er and may exceed this level on occasion; it is the expected level of performance.</w:t>
            </w:r>
          </w:p>
        </w:tc>
      </w:tr>
      <w:tr w:rsidR="007F19F2" w:rsidRPr="006C5449" w:rsidTr="00954807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NEEDS IMPROVEMENT: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Meets some job requirements, but needs development in certain areas to fully meet expectations.</w:t>
            </w:r>
          </w:p>
        </w:tc>
      </w:tr>
      <w:tr w:rsidR="007F19F2" w:rsidRPr="006C5449" w:rsidTr="00954807">
        <w:trPr>
          <w:trHeight w:val="3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FME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FAILS TO MEET EXPECTATIONS: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Clearly did not meet job requirements or expectations; immediate and significant improvement is required.</w:t>
            </w:r>
          </w:p>
        </w:tc>
      </w:tr>
      <w:tr w:rsidR="007F19F2" w:rsidRPr="006C5449" w:rsidTr="003F324E">
        <w:trPr>
          <w:trHeight w:val="5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3F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6C54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2" w:rsidRPr="003F324E" w:rsidRDefault="007F19F2" w:rsidP="007F19F2">
            <w:pPr>
              <w:rPr>
                <w:rFonts w:ascii="Arial" w:hAnsi="Arial" w:cs="Arial"/>
                <w:sz w:val="20"/>
                <w:szCs w:val="20"/>
              </w:rPr>
            </w:pPr>
            <w:r w:rsidRPr="003F324E">
              <w:rPr>
                <w:rFonts w:ascii="Arial" w:hAnsi="Arial" w:cs="Arial"/>
                <w:b/>
                <w:sz w:val="20"/>
                <w:szCs w:val="20"/>
              </w:rPr>
              <w:t>NOT APPLICABLE:</w:t>
            </w:r>
            <w:r w:rsidRPr="003F324E">
              <w:rPr>
                <w:rFonts w:ascii="Arial" w:hAnsi="Arial" w:cs="Arial"/>
                <w:sz w:val="20"/>
                <w:szCs w:val="20"/>
              </w:rPr>
              <w:t xml:space="preserve">  Performance factor does not apply to position being evaluated; or performance factor does not pertain to this current rating period (explain in comments section).</w:t>
            </w:r>
          </w:p>
        </w:tc>
      </w:tr>
    </w:tbl>
    <w:p w:rsidR="003F324E" w:rsidRDefault="003F324E">
      <w:r>
        <w:br w:type="page"/>
      </w:r>
    </w:p>
    <w:tbl>
      <w:tblPr>
        <w:tblStyle w:val="TableGrid2"/>
        <w:tblpPr w:leftFromText="180" w:rightFromText="180" w:vertAnchor="text" w:horzAnchor="margin" w:tblpX="-144" w:tblpY="396"/>
        <w:tblW w:w="14845" w:type="dxa"/>
        <w:tblLayout w:type="fixed"/>
        <w:tblLook w:val="04A0" w:firstRow="1" w:lastRow="0" w:firstColumn="1" w:lastColumn="0" w:noHBand="0" w:noVBand="1"/>
      </w:tblPr>
      <w:tblGrid>
        <w:gridCol w:w="288"/>
        <w:gridCol w:w="5220"/>
        <w:gridCol w:w="7740"/>
        <w:gridCol w:w="90"/>
        <w:gridCol w:w="1507"/>
      </w:tblGrid>
      <w:tr w:rsidR="006C5449" w:rsidRPr="006C5449" w:rsidTr="00DD7721">
        <w:trPr>
          <w:trHeight w:val="314"/>
        </w:trPr>
        <w:tc>
          <w:tcPr>
            <w:tcW w:w="14845" w:type="dxa"/>
            <w:gridSpan w:val="5"/>
            <w:vAlign w:val="center"/>
          </w:tcPr>
          <w:p w:rsidR="006C5449" w:rsidRPr="006C5449" w:rsidRDefault="006C5449" w:rsidP="005A1074">
            <w:pPr>
              <w:jc w:val="center"/>
              <w:rPr>
                <w:rFonts w:ascii="Arial" w:hAnsi="Arial" w:cs="Arial"/>
                <w:b/>
              </w:rPr>
            </w:pPr>
            <w:r w:rsidRPr="006C5449">
              <w:rPr>
                <w:rFonts w:ascii="Arial" w:hAnsi="Arial" w:cs="Arial"/>
                <w:b/>
                <w:sz w:val="20"/>
              </w:rPr>
              <w:lastRenderedPageBreak/>
              <w:t>SECTION 1: DEPARTMENT STANDARDS AND POLICIES</w:t>
            </w:r>
          </w:p>
        </w:tc>
      </w:tr>
      <w:tr w:rsidR="006C5449" w:rsidRPr="006C5449" w:rsidTr="00DD7721">
        <w:trPr>
          <w:trHeight w:val="2006"/>
        </w:trPr>
        <w:tc>
          <w:tcPr>
            <w:tcW w:w="288" w:type="dxa"/>
            <w:vMerge w:val="restart"/>
          </w:tcPr>
          <w:p w:rsidR="006C5449" w:rsidRPr="006C5449" w:rsidRDefault="007F19F2" w:rsidP="006C54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5220" w:type="dxa"/>
            <w:vMerge w:val="restart"/>
          </w:tcPr>
          <w:p w:rsidR="006C5449" w:rsidRPr="006C5449" w:rsidRDefault="006C5449" w:rsidP="00DE3D0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WORK AND CONDUCT SUPPORTS MISSION AND GOALS OF THE DEPARTMENT/JUDICIARY:</w:t>
            </w:r>
          </w:p>
          <w:p w:rsidR="00C13096" w:rsidRPr="00F1013A" w:rsidRDefault="006C5449" w:rsidP="00F1013A">
            <w:pPr>
              <w:rPr>
                <w:rFonts w:ascii="Arial" w:hAnsi="Arial" w:cs="Arial"/>
                <w:sz w:val="16"/>
                <w:szCs w:val="20"/>
              </w:rPr>
            </w:pPr>
            <w:r w:rsidRPr="00F1013A">
              <w:rPr>
                <w:rFonts w:ascii="Arial" w:hAnsi="Arial" w:cs="Arial"/>
                <w:sz w:val="16"/>
                <w:szCs w:val="20"/>
              </w:rPr>
              <w:t xml:space="preserve">Demonstrates personal integrity and abides by the Code of Ethics; </w:t>
            </w:r>
          </w:p>
          <w:p w:rsidR="00C13096" w:rsidRPr="00F1013A" w:rsidRDefault="006C5449" w:rsidP="00F1013A">
            <w:pPr>
              <w:rPr>
                <w:rFonts w:ascii="Arial" w:hAnsi="Arial" w:cs="Arial"/>
                <w:sz w:val="16"/>
                <w:szCs w:val="16"/>
              </w:rPr>
            </w:pPr>
            <w:r w:rsidRPr="00F1013A">
              <w:rPr>
                <w:rFonts w:ascii="Arial" w:hAnsi="Arial" w:cs="Arial"/>
                <w:sz w:val="16"/>
                <w:szCs w:val="16"/>
              </w:rPr>
              <w:t xml:space="preserve">Follows judicial polices/directives; </w:t>
            </w:r>
          </w:p>
          <w:p w:rsidR="00C13096" w:rsidRPr="00F1013A" w:rsidRDefault="006C5449" w:rsidP="00F1013A">
            <w:pPr>
              <w:rPr>
                <w:rFonts w:ascii="Arial" w:hAnsi="Arial" w:cs="Arial"/>
                <w:sz w:val="16"/>
                <w:szCs w:val="16"/>
              </w:rPr>
            </w:pPr>
            <w:r w:rsidRPr="00F1013A">
              <w:rPr>
                <w:rFonts w:ascii="Arial" w:hAnsi="Arial" w:cs="Arial"/>
                <w:sz w:val="16"/>
                <w:szCs w:val="16"/>
              </w:rPr>
              <w:t xml:space="preserve">Follows departmental polices; </w:t>
            </w:r>
          </w:p>
          <w:p w:rsidR="006C5449" w:rsidRPr="00F1013A" w:rsidRDefault="006C5449" w:rsidP="00F1013A">
            <w:pPr>
              <w:rPr>
                <w:rFonts w:ascii="Arial" w:hAnsi="Arial" w:cs="Arial"/>
                <w:sz w:val="20"/>
                <w:szCs w:val="20"/>
              </w:rPr>
            </w:pPr>
            <w:r w:rsidRPr="00F1013A">
              <w:rPr>
                <w:rFonts w:ascii="Arial" w:hAnsi="Arial" w:cs="Arial"/>
                <w:sz w:val="16"/>
                <w:szCs w:val="16"/>
              </w:rPr>
              <w:t>Demonstrates a willingness to employ Evidence Based Practices to reach departmental goals</w:t>
            </w:r>
            <w:r w:rsidR="00C13096" w:rsidRPr="00F101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37" w:type="dxa"/>
            <w:gridSpan w:val="3"/>
          </w:tcPr>
          <w:p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Supportive Information:</w:t>
            </w:r>
          </w:p>
          <w:p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:rsidTr="00DD7721">
        <w:trPr>
          <w:trHeight w:val="71"/>
        </w:trPr>
        <w:tc>
          <w:tcPr>
            <w:tcW w:w="288" w:type="dxa"/>
            <w:vMerge/>
          </w:tcPr>
          <w:p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20" w:type="dxa"/>
            <w:vMerge/>
          </w:tcPr>
          <w:p w:rsidR="006C5449" w:rsidRPr="006C5449" w:rsidRDefault="006C5449" w:rsidP="00DE3D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0" w:type="dxa"/>
          </w:tcPr>
          <w:p w:rsidR="006C5449" w:rsidRPr="006C5449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97" w:type="dxa"/>
            <w:gridSpan w:val="2"/>
          </w:tcPr>
          <w:p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5449" w:rsidRPr="006C5449" w:rsidTr="00DD7721">
        <w:trPr>
          <w:trHeight w:val="1277"/>
        </w:trPr>
        <w:tc>
          <w:tcPr>
            <w:tcW w:w="288" w:type="dxa"/>
            <w:vMerge w:val="restart"/>
          </w:tcPr>
          <w:p w:rsidR="006C5449" w:rsidRPr="006C5449" w:rsidRDefault="007F19F2" w:rsidP="006C54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</w:t>
            </w:r>
          </w:p>
        </w:tc>
        <w:tc>
          <w:tcPr>
            <w:tcW w:w="5220" w:type="dxa"/>
            <w:vMerge w:val="restart"/>
          </w:tcPr>
          <w:p w:rsidR="006C5449" w:rsidRPr="006C5449" w:rsidRDefault="006C5449" w:rsidP="00DE3D0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 xml:space="preserve">ATTENTIVE TO DEPARTMENTAL SAFETY REGULATIONS/POLICIES: </w:t>
            </w:r>
          </w:p>
          <w:p w:rsidR="00C13096" w:rsidRPr="007F19F2" w:rsidRDefault="006C5449" w:rsidP="00DE3D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F19F2">
              <w:rPr>
                <w:rFonts w:ascii="Arial" w:hAnsi="Arial" w:cs="Arial"/>
                <w:sz w:val="16"/>
                <w:szCs w:val="16"/>
              </w:rPr>
              <w:t xml:space="preserve">Follows departmental safety regulations/polices; </w:t>
            </w:r>
          </w:p>
          <w:p w:rsidR="006C5449" w:rsidRPr="007F19F2" w:rsidRDefault="006C5449" w:rsidP="00DE3D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16"/>
              </w:rPr>
              <w:t>Completes required training and properly uses methods for managing angry or</w:t>
            </w:r>
            <w:r w:rsidRPr="007F19F2">
              <w:rPr>
                <w:rFonts w:ascii="Arial" w:hAnsi="Arial" w:cs="Arial"/>
                <w:sz w:val="16"/>
                <w:szCs w:val="20"/>
              </w:rPr>
              <w:t xml:space="preserve"> ph</w:t>
            </w:r>
            <w:r w:rsidR="00C13096" w:rsidRPr="007F19F2">
              <w:rPr>
                <w:rFonts w:ascii="Arial" w:hAnsi="Arial" w:cs="Arial"/>
                <w:sz w:val="16"/>
                <w:szCs w:val="20"/>
              </w:rPr>
              <w:t>ysically assaultive individuals.</w:t>
            </w:r>
          </w:p>
        </w:tc>
        <w:tc>
          <w:tcPr>
            <w:tcW w:w="9337" w:type="dxa"/>
            <w:gridSpan w:val="3"/>
          </w:tcPr>
          <w:p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="006C5449"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:rsidTr="00DD7721">
        <w:tc>
          <w:tcPr>
            <w:tcW w:w="288" w:type="dxa"/>
            <w:vMerge/>
          </w:tcPr>
          <w:p w:rsidR="006C5449" w:rsidRPr="006C5449" w:rsidRDefault="006C5449" w:rsidP="006C5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6C5449" w:rsidRPr="006C5449" w:rsidRDefault="006C5449" w:rsidP="006C5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30" w:type="dxa"/>
            <w:gridSpan w:val="2"/>
          </w:tcPr>
          <w:p w:rsidR="006C5449" w:rsidRPr="006C5449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07" w:type="dxa"/>
          </w:tcPr>
          <w:p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10E72" w:rsidRDefault="00B10E72"/>
    <w:tbl>
      <w:tblPr>
        <w:tblStyle w:val="TableGrid3"/>
        <w:tblW w:w="14827" w:type="dxa"/>
        <w:tblInd w:w="-162" w:type="dxa"/>
        <w:tblLook w:val="04A0" w:firstRow="1" w:lastRow="0" w:firstColumn="1" w:lastColumn="0" w:noHBand="0" w:noVBand="1"/>
      </w:tblPr>
      <w:tblGrid>
        <w:gridCol w:w="367"/>
        <w:gridCol w:w="5123"/>
        <w:gridCol w:w="7830"/>
        <w:gridCol w:w="1507"/>
      </w:tblGrid>
      <w:tr w:rsidR="00E222CB" w:rsidRPr="006C5449" w:rsidTr="00E222CB">
        <w:trPr>
          <w:trHeight w:val="277"/>
        </w:trPr>
        <w:tc>
          <w:tcPr>
            <w:tcW w:w="14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2CB" w:rsidRDefault="00E222CB" w:rsidP="005A1074">
            <w:pPr>
              <w:jc w:val="center"/>
            </w:pPr>
          </w:p>
        </w:tc>
      </w:tr>
      <w:tr w:rsidR="006C5449" w:rsidRPr="006C5449" w:rsidTr="00E222CB">
        <w:trPr>
          <w:trHeight w:val="277"/>
        </w:trPr>
        <w:tc>
          <w:tcPr>
            <w:tcW w:w="148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449" w:rsidRPr="006C5449" w:rsidRDefault="00B10E72" w:rsidP="005A1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6C5449" w:rsidRPr="006C5449">
              <w:rPr>
                <w:rFonts w:ascii="Arial" w:hAnsi="Arial" w:cs="Arial"/>
                <w:b/>
                <w:sz w:val="20"/>
              </w:rPr>
              <w:t>SECTION 2: PROFESSIONAL ALLIANCE AND GROWTH</w:t>
            </w:r>
          </w:p>
        </w:tc>
      </w:tr>
      <w:tr w:rsidR="006C5449" w:rsidRPr="006C5449" w:rsidTr="00E222CB">
        <w:trPr>
          <w:trHeight w:val="2087"/>
        </w:trPr>
        <w:tc>
          <w:tcPr>
            <w:tcW w:w="367" w:type="dxa"/>
            <w:vMerge w:val="restart"/>
            <w:tcBorders>
              <w:top w:val="single" w:sz="4" w:space="0" w:color="auto"/>
            </w:tcBorders>
          </w:tcPr>
          <w:p w:rsidR="006C5449" w:rsidRPr="006C5449" w:rsidRDefault="007F19F2" w:rsidP="007F19F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5123" w:type="dxa"/>
            <w:vMerge w:val="restart"/>
            <w:tcBorders>
              <w:top w:val="single" w:sz="4" w:space="0" w:color="auto"/>
            </w:tcBorders>
          </w:tcPr>
          <w:p w:rsidR="006C5449" w:rsidRPr="006C5449" w:rsidRDefault="006C5449" w:rsidP="00DE3D0B">
            <w:pPr>
              <w:rPr>
                <w:rFonts w:ascii="Arial" w:hAnsi="Arial" w:cs="Arial"/>
                <w:b/>
                <w:sz w:val="18"/>
              </w:rPr>
            </w:pPr>
            <w:r w:rsidRPr="006C5449">
              <w:rPr>
                <w:rFonts w:ascii="Arial" w:hAnsi="Arial" w:cs="Arial"/>
                <w:b/>
                <w:sz w:val="18"/>
              </w:rPr>
              <w:t>COMMUNICATES EFFECTIVELY WITH DEPARTMENTAL EMPLOYEES AND ALL EXTERNAL STAKEHOLDERS, INCLUDING VICTIMS:</w:t>
            </w:r>
          </w:p>
          <w:p w:rsidR="00C13096" w:rsidRPr="007F19F2" w:rsidRDefault="006C5449" w:rsidP="00DE3D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</w:rPr>
            </w:pPr>
            <w:r w:rsidRPr="007F19F2">
              <w:rPr>
                <w:rFonts w:ascii="Arial" w:hAnsi="Arial" w:cs="Arial"/>
                <w:sz w:val="16"/>
              </w:rPr>
              <w:t xml:space="preserve">Is authentic, attentive and articulates effectively when communicating with others; </w:t>
            </w:r>
          </w:p>
          <w:p w:rsidR="00C13096" w:rsidRPr="007F19F2" w:rsidRDefault="006C5449" w:rsidP="00DE3D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</w:rPr>
            </w:pPr>
            <w:r w:rsidRPr="007F19F2">
              <w:rPr>
                <w:rFonts w:ascii="Arial" w:hAnsi="Arial" w:cs="Arial"/>
                <w:sz w:val="16"/>
              </w:rPr>
              <w:t xml:space="preserve">Is confident, respectful and professional in all interactions; </w:t>
            </w:r>
          </w:p>
          <w:p w:rsidR="00C13096" w:rsidRPr="007F19F2" w:rsidRDefault="006C5449" w:rsidP="00DE3D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</w:rPr>
            </w:pPr>
            <w:r w:rsidRPr="007F19F2">
              <w:rPr>
                <w:rFonts w:ascii="Arial" w:hAnsi="Arial" w:cs="Arial"/>
                <w:sz w:val="16"/>
              </w:rPr>
              <w:t xml:space="preserve">Written and verbal communications are purposeful and timely; </w:t>
            </w:r>
          </w:p>
          <w:p w:rsidR="006C5449" w:rsidRPr="007F19F2" w:rsidRDefault="006C5449" w:rsidP="00DE3D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7F19F2">
              <w:rPr>
                <w:rFonts w:ascii="Arial" w:hAnsi="Arial" w:cs="Arial"/>
                <w:sz w:val="16"/>
              </w:rPr>
              <w:t>Accepts responsibility, is responsive to suggestions and demonstrates the ability to be flexible, making appropr</w:t>
            </w:r>
            <w:r w:rsidR="00C13096" w:rsidRPr="007F19F2">
              <w:rPr>
                <w:rFonts w:ascii="Arial" w:hAnsi="Arial" w:cs="Arial"/>
                <w:sz w:val="16"/>
              </w:rPr>
              <w:t>iate adjustments when necessary.</w:t>
            </w:r>
          </w:p>
        </w:tc>
        <w:tc>
          <w:tcPr>
            <w:tcW w:w="9337" w:type="dxa"/>
            <w:gridSpan w:val="2"/>
            <w:tcBorders>
              <w:top w:val="single" w:sz="4" w:space="0" w:color="auto"/>
            </w:tcBorders>
          </w:tcPr>
          <w:p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="006C5449"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:rsidTr="00DD7721">
        <w:trPr>
          <w:trHeight w:val="144"/>
        </w:trPr>
        <w:tc>
          <w:tcPr>
            <w:tcW w:w="367" w:type="dxa"/>
            <w:vMerge/>
          </w:tcPr>
          <w:p w:rsidR="006C5449" w:rsidRPr="006C5449" w:rsidRDefault="006C5449" w:rsidP="006C544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3" w:type="dxa"/>
            <w:vMerge/>
          </w:tcPr>
          <w:p w:rsidR="006C5449" w:rsidRPr="006C5449" w:rsidRDefault="006C5449" w:rsidP="00DE3D0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830" w:type="dxa"/>
          </w:tcPr>
          <w:p w:rsidR="006C5449" w:rsidRPr="00917B52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917B52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07" w:type="dxa"/>
          </w:tcPr>
          <w:p w:rsidR="006C5449" w:rsidRPr="00917B52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917B5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7B52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17B52">
              <w:rPr>
                <w:rFonts w:ascii="Arial" w:hAnsi="Arial" w:cs="Arial"/>
                <w:sz w:val="18"/>
                <w:szCs w:val="20"/>
              </w:rPr>
            </w:r>
            <w:r w:rsidRPr="00917B52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t> </w:t>
            </w:r>
            <w:r w:rsidRPr="00917B52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C5449" w:rsidRPr="006C5449" w:rsidTr="00DD7721">
        <w:trPr>
          <w:trHeight w:val="1718"/>
        </w:trPr>
        <w:tc>
          <w:tcPr>
            <w:tcW w:w="367" w:type="dxa"/>
            <w:vMerge w:val="restart"/>
          </w:tcPr>
          <w:p w:rsidR="006C5449" w:rsidRPr="006C5449" w:rsidRDefault="007F19F2" w:rsidP="006C54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</w:tc>
        <w:tc>
          <w:tcPr>
            <w:tcW w:w="5123" w:type="dxa"/>
            <w:vMerge w:val="restart"/>
          </w:tcPr>
          <w:p w:rsidR="006C5449" w:rsidRPr="006C5449" w:rsidRDefault="006C5449" w:rsidP="00DE3D0B">
            <w:pPr>
              <w:rPr>
                <w:rFonts w:ascii="Arial" w:hAnsi="Arial" w:cs="Arial"/>
                <w:b/>
                <w:sz w:val="18"/>
              </w:rPr>
            </w:pPr>
            <w:r w:rsidRPr="006C5449">
              <w:rPr>
                <w:rFonts w:ascii="Arial" w:hAnsi="Arial" w:cs="Arial"/>
                <w:b/>
                <w:sz w:val="18"/>
              </w:rPr>
              <w:t>WORKS COLLABORATIVELY WITH WORKGROUPS/TEAMS/COMMITTEES:</w:t>
            </w:r>
          </w:p>
          <w:p w:rsidR="00C13096" w:rsidRPr="007F19F2" w:rsidRDefault="006C5449" w:rsidP="00DE3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7F19F2">
              <w:rPr>
                <w:rFonts w:ascii="Arial" w:hAnsi="Arial" w:cs="Arial"/>
                <w:sz w:val="16"/>
              </w:rPr>
              <w:t xml:space="preserve">Works collaboratively with others to prevent or resolve conflicts by gathering relevant information and evaluating alternatives, before making a decision; </w:t>
            </w:r>
          </w:p>
          <w:p w:rsidR="00C13096" w:rsidRPr="007F19F2" w:rsidRDefault="006C5449" w:rsidP="00DE3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7F19F2">
              <w:rPr>
                <w:rFonts w:ascii="Arial" w:hAnsi="Arial" w:cs="Arial"/>
                <w:sz w:val="16"/>
              </w:rPr>
              <w:t xml:space="preserve">Willing to accept new duties; </w:t>
            </w:r>
          </w:p>
          <w:p w:rsidR="006C5449" w:rsidRPr="007F19F2" w:rsidRDefault="006C5449" w:rsidP="00DE3D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7F19F2">
              <w:rPr>
                <w:rFonts w:ascii="Arial" w:hAnsi="Arial" w:cs="Arial"/>
                <w:sz w:val="16"/>
              </w:rPr>
              <w:t>Volunteers and actively partic</w:t>
            </w:r>
            <w:r w:rsidR="00C13096" w:rsidRPr="007F19F2">
              <w:rPr>
                <w:rFonts w:ascii="Arial" w:hAnsi="Arial" w:cs="Arial"/>
                <w:sz w:val="16"/>
              </w:rPr>
              <w:t>ipates in committees/workgroups.</w:t>
            </w:r>
          </w:p>
        </w:tc>
        <w:tc>
          <w:tcPr>
            <w:tcW w:w="9337" w:type="dxa"/>
            <w:gridSpan w:val="2"/>
          </w:tcPr>
          <w:p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="006C5449"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:rsidTr="00DD7721">
        <w:tc>
          <w:tcPr>
            <w:tcW w:w="367" w:type="dxa"/>
            <w:vMerge/>
          </w:tcPr>
          <w:p w:rsidR="006C5449" w:rsidRPr="006C5449" w:rsidRDefault="006C5449" w:rsidP="006C54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23" w:type="dxa"/>
            <w:vMerge/>
          </w:tcPr>
          <w:p w:rsidR="006C5449" w:rsidRPr="006C5449" w:rsidRDefault="006C5449" w:rsidP="00DE3D0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830" w:type="dxa"/>
          </w:tcPr>
          <w:p w:rsidR="006C5449" w:rsidRPr="006C5449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07" w:type="dxa"/>
          </w:tcPr>
          <w:p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5449" w:rsidRPr="006C5449" w:rsidTr="00DD7721">
        <w:trPr>
          <w:trHeight w:val="1837"/>
        </w:trPr>
        <w:tc>
          <w:tcPr>
            <w:tcW w:w="367" w:type="dxa"/>
            <w:vMerge w:val="restart"/>
          </w:tcPr>
          <w:p w:rsidR="006C5449" w:rsidRPr="006C5449" w:rsidRDefault="007F19F2" w:rsidP="006C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C</w:t>
            </w:r>
          </w:p>
        </w:tc>
        <w:tc>
          <w:tcPr>
            <w:tcW w:w="5123" w:type="dxa"/>
            <w:vMerge w:val="restart"/>
          </w:tcPr>
          <w:p w:rsidR="006C5449" w:rsidRPr="006C5449" w:rsidRDefault="006C5449" w:rsidP="00DE3D0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SEEKS OPPORTUNITIES FOR PROFESSIONAL DEVELOPMENT:</w:t>
            </w:r>
          </w:p>
          <w:p w:rsidR="00C13096" w:rsidRPr="007F19F2" w:rsidRDefault="006C5449" w:rsidP="00DE3D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Completes required training hours; </w:t>
            </w:r>
          </w:p>
          <w:p w:rsidR="00C13096" w:rsidRPr="007F19F2" w:rsidRDefault="006C5449" w:rsidP="00DE3D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Willingly participates in training to address needs identified through audits/formal observations, supervisor feedback, and personnel evaluations; </w:t>
            </w:r>
          </w:p>
          <w:p w:rsidR="006C5449" w:rsidRPr="007F19F2" w:rsidRDefault="006C5449" w:rsidP="00DE3D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Keeps informed of best pr</w:t>
            </w:r>
            <w:r w:rsidR="00C13096" w:rsidRPr="007F19F2">
              <w:rPr>
                <w:rFonts w:ascii="Arial" w:hAnsi="Arial" w:cs="Arial"/>
                <w:sz w:val="16"/>
                <w:szCs w:val="20"/>
              </w:rPr>
              <w:t>actices and issues in the field.</w:t>
            </w:r>
          </w:p>
        </w:tc>
        <w:tc>
          <w:tcPr>
            <w:tcW w:w="9337" w:type="dxa"/>
            <w:gridSpan w:val="2"/>
          </w:tcPr>
          <w:p w:rsidR="006C5449" w:rsidRPr="006C5449" w:rsidRDefault="003F324E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="006C5449"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6C5449" w:rsidRPr="006C5449" w:rsidRDefault="006C5449" w:rsidP="006C5449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6C5449" w:rsidRPr="006C5449" w:rsidTr="00DD7721">
        <w:trPr>
          <w:trHeight w:val="225"/>
        </w:trPr>
        <w:tc>
          <w:tcPr>
            <w:tcW w:w="367" w:type="dxa"/>
            <w:vMerge/>
          </w:tcPr>
          <w:p w:rsidR="006C5449" w:rsidRPr="006C5449" w:rsidRDefault="006C5449" w:rsidP="006C54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vMerge/>
          </w:tcPr>
          <w:p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:rsidR="006C5449" w:rsidRPr="006C5449" w:rsidRDefault="006C5449" w:rsidP="006C544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07" w:type="dxa"/>
          </w:tcPr>
          <w:p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4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60"/>
        <w:gridCol w:w="5130"/>
        <w:gridCol w:w="7830"/>
        <w:gridCol w:w="1530"/>
      </w:tblGrid>
      <w:tr w:rsidR="00E222CB" w:rsidRPr="006C5449" w:rsidTr="00E222CB">
        <w:trPr>
          <w:trHeight w:val="277"/>
        </w:trPr>
        <w:tc>
          <w:tcPr>
            <w:tcW w:w="148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222CB" w:rsidRPr="006C5449" w:rsidRDefault="00E222CB" w:rsidP="00573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FC6" w:rsidRPr="006C5449" w:rsidTr="00573BCE">
        <w:trPr>
          <w:trHeight w:val="277"/>
        </w:trPr>
        <w:tc>
          <w:tcPr>
            <w:tcW w:w="14850" w:type="dxa"/>
            <w:gridSpan w:val="4"/>
            <w:vAlign w:val="center"/>
          </w:tcPr>
          <w:p w:rsidR="00964FC6" w:rsidRPr="006C5449" w:rsidRDefault="00964FC6" w:rsidP="00573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49">
              <w:rPr>
                <w:rFonts w:ascii="Arial" w:hAnsi="Arial" w:cs="Arial"/>
                <w:b/>
                <w:sz w:val="20"/>
                <w:szCs w:val="20"/>
              </w:rPr>
              <w:t>SECTION 3: CASE MANAGEMENT AND SUPERVISION</w:t>
            </w:r>
          </w:p>
        </w:tc>
      </w:tr>
      <w:tr w:rsidR="00964FC6" w:rsidRPr="006C5449" w:rsidTr="00573BCE">
        <w:trPr>
          <w:trHeight w:val="1889"/>
        </w:trPr>
        <w:tc>
          <w:tcPr>
            <w:tcW w:w="36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513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RISK REDUCTION: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Makes appropriate referrals for juveniles and families based on the principles of risk, need and responsivity;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Provides appropriate information, per departmental policy, to the treatment/referral agency and obtains required documents from the treatment/referral agency;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Communicates with service providers to support the achievement of identified goals.</w:t>
            </w:r>
          </w:p>
        </w:tc>
        <w:tc>
          <w:tcPr>
            <w:tcW w:w="9360" w:type="dxa"/>
            <w:gridSpan w:val="2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70"/>
        </w:trPr>
        <w:tc>
          <w:tcPr>
            <w:tcW w:w="36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1070"/>
        </w:trPr>
        <w:tc>
          <w:tcPr>
            <w:tcW w:w="36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</w:t>
            </w:r>
          </w:p>
        </w:tc>
        <w:tc>
          <w:tcPr>
            <w:tcW w:w="513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ACCOUNTABILITY MEASURES: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Makes referrals to restorative programs, as appropriate;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Monitors payments of restitution and reports a</w:t>
            </w:r>
            <w:r>
              <w:rPr>
                <w:rFonts w:ascii="Arial" w:hAnsi="Arial" w:cs="Arial"/>
                <w:sz w:val="16"/>
                <w:szCs w:val="20"/>
              </w:rPr>
              <w:t>rr</w:t>
            </w:r>
            <w:r w:rsidRPr="007F19F2">
              <w:rPr>
                <w:rFonts w:ascii="Arial" w:hAnsi="Arial" w:cs="Arial"/>
                <w:sz w:val="16"/>
                <w:szCs w:val="20"/>
              </w:rPr>
              <w:t>ear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  <w:r w:rsidRPr="007F19F2">
              <w:rPr>
                <w:rFonts w:ascii="Arial" w:hAnsi="Arial" w:cs="Arial"/>
                <w:sz w:val="16"/>
                <w:szCs w:val="20"/>
              </w:rPr>
              <w:t xml:space="preserve"> in accordance with department policy and court requirements;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Makes timely referrals and oversees completion of community service.</w:t>
            </w:r>
          </w:p>
        </w:tc>
        <w:tc>
          <w:tcPr>
            <w:tcW w:w="9360" w:type="dxa"/>
            <w:gridSpan w:val="2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71"/>
        </w:trPr>
        <w:tc>
          <w:tcPr>
            <w:tcW w:w="36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1187"/>
        </w:trPr>
        <w:tc>
          <w:tcPr>
            <w:tcW w:w="36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</w:p>
        </w:tc>
        <w:tc>
          <w:tcPr>
            <w:tcW w:w="513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ASSESSMENT/SCREE</w:t>
            </w:r>
            <w:r w:rsidR="00CA146E">
              <w:rPr>
                <w:rFonts w:ascii="Arial" w:hAnsi="Arial" w:cs="Arial"/>
                <w:b/>
                <w:sz w:val="18"/>
                <w:szCs w:val="20"/>
              </w:rPr>
              <w:t>N</w:t>
            </w:r>
            <w:r w:rsidRPr="006C5449">
              <w:rPr>
                <w:rFonts w:ascii="Arial" w:hAnsi="Arial" w:cs="Arial"/>
                <w:b/>
                <w:sz w:val="18"/>
                <w:szCs w:val="20"/>
              </w:rPr>
              <w:t>ING TOOLS: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Utilizes effective information gathering techniques; </w:t>
            </w:r>
          </w:p>
          <w:p w:rsidR="00964FC6" w:rsidRDefault="00964FC6" w:rsidP="00573B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Completes the assessment/screening tool in a detailed and timely manner; </w:t>
            </w:r>
          </w:p>
          <w:p w:rsidR="00964FC6" w:rsidRPr="001D7DD5" w:rsidRDefault="00964FC6" w:rsidP="00573B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Scoring of the assessment/screening tool is </w:t>
            </w:r>
            <w:r w:rsidRPr="001D7DD5">
              <w:rPr>
                <w:rFonts w:ascii="Arial" w:hAnsi="Arial" w:cs="Arial"/>
                <w:sz w:val="16"/>
                <w:szCs w:val="20"/>
              </w:rPr>
              <w:t xml:space="preserve">reliable and valid;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20"/>
              </w:rPr>
            </w:pPr>
            <w:r w:rsidRPr="001D7DD5">
              <w:rPr>
                <w:rFonts w:ascii="Arial" w:hAnsi="Arial" w:cs="Arial"/>
                <w:sz w:val="16"/>
                <w:szCs w:val="20"/>
              </w:rPr>
              <w:t>Level of supervision and risk assessment overrides are explained</w:t>
            </w:r>
            <w:r w:rsidRPr="007F19F2">
              <w:rPr>
                <w:rFonts w:ascii="Arial" w:hAnsi="Arial" w:cs="Arial"/>
                <w:sz w:val="16"/>
                <w:szCs w:val="20"/>
              </w:rPr>
              <w:t xml:space="preserve"> and documented per departmental policy.</w:t>
            </w:r>
          </w:p>
        </w:tc>
        <w:tc>
          <w:tcPr>
            <w:tcW w:w="9360" w:type="dxa"/>
            <w:gridSpan w:val="2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89"/>
        </w:trPr>
        <w:tc>
          <w:tcPr>
            <w:tcW w:w="36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2069"/>
        </w:trPr>
        <w:tc>
          <w:tcPr>
            <w:tcW w:w="36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  <w:tc>
          <w:tcPr>
            <w:tcW w:w="513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 xml:space="preserve">CASE PLANNING: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Prepares for development of initial case plan by identifying criminogenic needs and considers strategies for engaging juveniles in setting goals related to increased competencies; </w:t>
            </w:r>
          </w:p>
          <w:p w:rsidR="00964FC6" w:rsidRDefault="00964FC6" w:rsidP="00573B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Strengths are identified and included in the case planning process;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Collaborates with juvenile and family in developing and prioritizing goals to be incorporated into the case plan;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Develops a case plan which incorporates specific action steps while addressing responsivity needs;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When appropriate, case plans include linkage to agency involvement and treatment plans.</w:t>
            </w:r>
          </w:p>
        </w:tc>
        <w:tc>
          <w:tcPr>
            <w:tcW w:w="9360" w:type="dxa"/>
            <w:gridSpan w:val="2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:rsidTr="00573BCE">
        <w:tc>
          <w:tcPr>
            <w:tcW w:w="36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1817"/>
        </w:trPr>
        <w:tc>
          <w:tcPr>
            <w:tcW w:w="36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E</w:t>
            </w:r>
          </w:p>
        </w:tc>
        <w:tc>
          <w:tcPr>
            <w:tcW w:w="513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MOTIVATIONAL INTERVIEWING: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Demonstrates the use of Motivational Interviewing skills during daily interactions;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Employs Motivational Interviewing skills to enhance the quality of case management focusing on positive behavior change;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Listens effectively and encourages others to speak candidly; Participates in ongoing practice through the completion of recordings and/or direct observations per departmental policy;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Utilizes effective Motivational Interviewing to assist the juvenile in strengthening motivation and adherence to probation requirements.</w:t>
            </w:r>
          </w:p>
        </w:tc>
        <w:tc>
          <w:tcPr>
            <w:tcW w:w="9360" w:type="dxa"/>
            <w:gridSpan w:val="2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291"/>
        </w:trPr>
        <w:tc>
          <w:tcPr>
            <w:tcW w:w="36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1943"/>
        </w:trPr>
        <w:tc>
          <w:tcPr>
            <w:tcW w:w="36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</w:t>
            </w:r>
          </w:p>
        </w:tc>
        <w:tc>
          <w:tcPr>
            <w:tcW w:w="513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DAY-TO-DAY SUPERVIS</w:t>
            </w:r>
            <w:r w:rsidR="00CA146E">
              <w:rPr>
                <w:rFonts w:ascii="Arial" w:hAnsi="Arial" w:cs="Arial"/>
                <w:b/>
                <w:sz w:val="18"/>
                <w:szCs w:val="20"/>
              </w:rPr>
              <w:t>I</w:t>
            </w:r>
            <w:r w:rsidRPr="006C5449">
              <w:rPr>
                <w:rFonts w:ascii="Arial" w:hAnsi="Arial" w:cs="Arial"/>
                <w:b/>
                <w:sz w:val="18"/>
                <w:szCs w:val="20"/>
              </w:rPr>
              <w:t>ON: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Meets contact standards as required by </w:t>
            </w:r>
            <w:r>
              <w:rPr>
                <w:rFonts w:ascii="Arial" w:hAnsi="Arial" w:cs="Arial"/>
                <w:sz w:val="16"/>
                <w:szCs w:val="20"/>
              </w:rPr>
              <w:t>departmental policy</w:t>
            </w:r>
            <w:r w:rsidRPr="007F19F2">
              <w:rPr>
                <w:rFonts w:ascii="Arial" w:hAnsi="Arial" w:cs="Arial"/>
                <w:sz w:val="16"/>
                <w:szCs w:val="20"/>
              </w:rPr>
              <w:t xml:space="preserve">; </w:t>
            </w:r>
          </w:p>
          <w:p w:rsidR="00964FC6" w:rsidRDefault="00964FC6" w:rsidP="00573B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Makes contact with family, schools, placements, and community;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Monitors compliance with court requirements and laws; </w:t>
            </w:r>
          </w:p>
          <w:p w:rsidR="00964FC6" w:rsidRPr="00917B52" w:rsidRDefault="00964FC6" w:rsidP="00573B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Utilizes </w:t>
            </w:r>
            <w:r>
              <w:rPr>
                <w:rFonts w:ascii="Arial" w:hAnsi="Arial" w:cs="Arial"/>
                <w:sz w:val="16"/>
                <w:szCs w:val="20"/>
              </w:rPr>
              <w:t>assessment</w:t>
            </w:r>
            <w:r w:rsidRPr="007F19F2">
              <w:rPr>
                <w:rFonts w:ascii="Arial" w:hAnsi="Arial" w:cs="Arial"/>
                <w:sz w:val="16"/>
                <w:szCs w:val="20"/>
              </w:rPr>
              <w:t xml:space="preserve"> results, case plan, skill building and structured session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  <w:r w:rsidRPr="007F19F2">
              <w:rPr>
                <w:rFonts w:ascii="Arial" w:hAnsi="Arial" w:cs="Arial"/>
                <w:sz w:val="16"/>
                <w:szCs w:val="20"/>
              </w:rPr>
              <w:t xml:space="preserve"> to focus discussions with juveniles around behavior change;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Monitors progress, identifies barriers and assists juveniles in solving problems to promote behavior change by utilizing client-ce</w:t>
            </w:r>
            <w:r>
              <w:rPr>
                <w:rFonts w:ascii="Arial" w:hAnsi="Arial" w:cs="Arial"/>
                <w:sz w:val="16"/>
                <w:szCs w:val="20"/>
              </w:rPr>
              <w:t>ntered ski</w:t>
            </w:r>
            <w:r w:rsidRPr="007F19F2">
              <w:rPr>
                <w:rFonts w:ascii="Arial" w:hAnsi="Arial" w:cs="Arial"/>
                <w:sz w:val="16"/>
                <w:szCs w:val="20"/>
              </w:rPr>
              <w:t>ll building activities.</w:t>
            </w:r>
          </w:p>
        </w:tc>
        <w:tc>
          <w:tcPr>
            <w:tcW w:w="9360" w:type="dxa"/>
            <w:gridSpan w:val="2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:rsidTr="00573BCE">
        <w:tc>
          <w:tcPr>
            <w:tcW w:w="36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1025"/>
        </w:trPr>
        <w:tc>
          <w:tcPr>
            <w:tcW w:w="36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</w:t>
            </w:r>
          </w:p>
        </w:tc>
        <w:tc>
          <w:tcPr>
            <w:tcW w:w="513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GRADUATED RESPONSES: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Attentive to positive behavior and achievements and utilizes incentives to reinforce behavior change;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Recommends graduated sanctions for non-compliance in accordance with departmental policy/court directives.</w:t>
            </w:r>
          </w:p>
        </w:tc>
        <w:tc>
          <w:tcPr>
            <w:tcW w:w="9360" w:type="dxa"/>
            <w:gridSpan w:val="2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288"/>
        </w:trPr>
        <w:tc>
          <w:tcPr>
            <w:tcW w:w="36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:rsidTr="00573BCE">
        <w:trPr>
          <w:trHeight w:val="1610"/>
        </w:trPr>
        <w:tc>
          <w:tcPr>
            <w:tcW w:w="36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</w:t>
            </w:r>
          </w:p>
        </w:tc>
        <w:tc>
          <w:tcPr>
            <w:tcW w:w="513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DOCUMENTATION: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Case notes are objective, timely, concise, and thorough;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Case notes adequately summarize significant events or non-compliance;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Case notes routinely summarize progress on supervision plan goals;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Data entry into JCMS and other data sources is timely, accurate, and complete;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Reports are factual, grammatically correct, and filed in a timely manner.</w:t>
            </w:r>
          </w:p>
        </w:tc>
        <w:tc>
          <w:tcPr>
            <w:tcW w:w="9360" w:type="dxa"/>
            <w:gridSpan w:val="2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:rsidTr="00573BCE">
        <w:tc>
          <w:tcPr>
            <w:tcW w:w="36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</w:tcPr>
          <w:p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:rsidTr="00C24483">
        <w:trPr>
          <w:trHeight w:val="1367"/>
        </w:trPr>
        <w:tc>
          <w:tcPr>
            <w:tcW w:w="36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</w:t>
            </w:r>
          </w:p>
        </w:tc>
        <w:tc>
          <w:tcPr>
            <w:tcW w:w="5130" w:type="dxa"/>
            <w:vMerge w:val="restart"/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sz w:val="18"/>
                <w:szCs w:val="20"/>
              </w:rPr>
              <w:t>COURT DUTIES/RECOMMENDATIONS: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Timely and complete preparation of all court documents;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Concise and clear recommendations to the courts based on a thorough analysis and summary of the case, including risk-level and identified needs (both criminogenic and special);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 xml:space="preserve">Prepared and on time for all court related meetings; </w:t>
            </w:r>
          </w:p>
          <w:p w:rsidR="00964FC6" w:rsidRPr="007F19F2" w:rsidRDefault="00964FC6" w:rsidP="00573BC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F19F2">
              <w:rPr>
                <w:rFonts w:ascii="Arial" w:hAnsi="Arial" w:cs="Arial"/>
                <w:sz w:val="16"/>
                <w:szCs w:val="20"/>
              </w:rPr>
              <w:t>Professional courtroom demeanor.</w:t>
            </w:r>
          </w:p>
        </w:tc>
        <w:tc>
          <w:tcPr>
            <w:tcW w:w="9360" w:type="dxa"/>
            <w:gridSpan w:val="2"/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3F324E">
              <w:rPr>
                <w:rFonts w:ascii="Arial" w:hAnsi="Arial" w:cs="Arial"/>
                <w:sz w:val="18"/>
                <w:szCs w:val="20"/>
              </w:rPr>
              <w:t>Supportive Information</w:t>
            </w:r>
            <w:r w:rsidRPr="006C5449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964FC6" w:rsidRPr="006C5449" w:rsidTr="00C24483">
        <w:trPr>
          <w:trHeight w:val="260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964FC6" w:rsidRPr="006C5449" w:rsidRDefault="00964FC6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964FC6" w:rsidRPr="006C5449" w:rsidRDefault="00964FC6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C5449">
              <w:rPr>
                <w:rFonts w:ascii="Arial" w:hAnsi="Arial" w:cs="Arial"/>
                <w:sz w:val="18"/>
                <w:szCs w:val="20"/>
              </w:rPr>
              <w:t>Rating: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64FC6" w:rsidRPr="006C5449" w:rsidRDefault="00964FC6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24483" w:rsidRPr="006C5449" w:rsidTr="00C24483">
        <w:trPr>
          <w:trHeight w:val="260"/>
        </w:trPr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C24483" w:rsidRDefault="00C24483" w:rsidP="00573BCE">
            <w:pPr>
              <w:rPr>
                <w:rFonts w:ascii="Arial" w:hAnsi="Arial" w:cs="Arial"/>
                <w:sz w:val="18"/>
                <w:szCs w:val="20"/>
              </w:rPr>
            </w:pPr>
          </w:p>
          <w:p w:rsidR="00C24483" w:rsidRDefault="00C24483" w:rsidP="00573BCE">
            <w:pPr>
              <w:rPr>
                <w:rFonts w:ascii="Arial" w:hAnsi="Arial" w:cs="Arial"/>
                <w:sz w:val="18"/>
                <w:szCs w:val="20"/>
              </w:rPr>
            </w:pPr>
          </w:p>
          <w:p w:rsidR="00C24483" w:rsidRPr="006C5449" w:rsidRDefault="00C24483" w:rsidP="00573BC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30" w:type="dxa"/>
            <w:tcBorders>
              <w:left w:val="nil"/>
              <w:bottom w:val="nil"/>
              <w:right w:val="nil"/>
            </w:tcBorders>
          </w:tcPr>
          <w:p w:rsidR="00C24483" w:rsidRPr="006C5449" w:rsidRDefault="00C24483" w:rsidP="00573B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0" w:type="dxa"/>
            <w:tcBorders>
              <w:left w:val="nil"/>
              <w:bottom w:val="nil"/>
              <w:right w:val="nil"/>
            </w:tcBorders>
          </w:tcPr>
          <w:p w:rsidR="00C24483" w:rsidRPr="006C5449" w:rsidRDefault="00C24483" w:rsidP="00573BC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C24483" w:rsidRPr="006C5449" w:rsidRDefault="00C24483" w:rsidP="00573BC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14850" w:type="dxa"/>
        <w:tblInd w:w="-167" w:type="dxa"/>
        <w:tblLook w:val="04A0" w:firstRow="1" w:lastRow="0" w:firstColumn="1" w:lastColumn="0" w:noHBand="0" w:noVBand="1"/>
      </w:tblPr>
      <w:tblGrid>
        <w:gridCol w:w="6660"/>
        <w:gridCol w:w="8190"/>
      </w:tblGrid>
      <w:tr w:rsidR="0077619B" w:rsidRPr="00101C7E" w:rsidTr="00C24483">
        <w:trPr>
          <w:trHeight w:val="350"/>
        </w:trPr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77619B" w:rsidRPr="008B65FE" w:rsidRDefault="0077619B" w:rsidP="007F19F2">
            <w:pPr>
              <w:jc w:val="right"/>
              <w:rPr>
                <w:b/>
                <w:sz w:val="24"/>
                <w:szCs w:val="24"/>
              </w:rPr>
            </w:pPr>
            <w:r w:rsidRPr="008B65FE">
              <w:rPr>
                <w:b/>
                <w:sz w:val="24"/>
                <w:szCs w:val="24"/>
              </w:rPr>
              <w:t>OVERALL PERFORMANCE RATING</w:t>
            </w:r>
            <w:r w:rsidR="007F19F2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77619B" w:rsidRPr="00101C7E" w:rsidRDefault="0077619B" w:rsidP="002C31E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101C7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4FC6" w:rsidRPr="006C5449" w:rsidTr="00C24483">
        <w:trPr>
          <w:trHeight w:val="413"/>
        </w:trPr>
        <w:tc>
          <w:tcPr>
            <w:tcW w:w="14850" w:type="dxa"/>
            <w:gridSpan w:val="2"/>
          </w:tcPr>
          <w:p w:rsidR="00964FC6" w:rsidRPr="00DE3D0B" w:rsidRDefault="00C24483" w:rsidP="00C24483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SUPPORTIVE INFORMATION:</w:t>
            </w:r>
          </w:p>
        </w:tc>
      </w:tr>
      <w:tr w:rsidR="00964FC6" w:rsidRPr="006C5449" w:rsidTr="00964FC6">
        <w:trPr>
          <w:trHeight w:val="1979"/>
        </w:trPr>
        <w:tc>
          <w:tcPr>
            <w:tcW w:w="14850" w:type="dxa"/>
            <w:gridSpan w:val="2"/>
          </w:tcPr>
          <w:p w:rsidR="00964FC6" w:rsidRDefault="00964FC6" w:rsidP="00B77E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  <w:p w:rsidR="00964FC6" w:rsidRDefault="00964FC6" w:rsidP="00B77E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964FC6" w:rsidRDefault="00964FC6" w:rsidP="00B77E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964FC6" w:rsidRPr="006C5449" w:rsidRDefault="00964FC6" w:rsidP="00B77E0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tbl>
      <w:tblPr>
        <w:tblStyle w:val="TableGrid5"/>
        <w:tblW w:w="14850" w:type="dxa"/>
        <w:tblInd w:w="-162" w:type="dxa"/>
        <w:tblLook w:val="04A0" w:firstRow="1" w:lastRow="0" w:firstColumn="1" w:lastColumn="0" w:noHBand="0" w:noVBand="1"/>
      </w:tblPr>
      <w:tblGrid>
        <w:gridCol w:w="14850"/>
      </w:tblGrid>
      <w:tr w:rsidR="006C5449" w:rsidRPr="006C5449" w:rsidTr="00954807">
        <w:trPr>
          <w:trHeight w:val="251"/>
        </w:trPr>
        <w:tc>
          <w:tcPr>
            <w:tcW w:w="14850" w:type="dxa"/>
          </w:tcPr>
          <w:p w:rsidR="006C5449" w:rsidRPr="00DE3D0B" w:rsidRDefault="008716D7" w:rsidP="00C80B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GOALS </w:t>
            </w:r>
            <w:r w:rsidR="006C5449" w:rsidRPr="00DE3D0B">
              <w:rPr>
                <w:rFonts w:ascii="Arial" w:hAnsi="Arial" w:cs="Arial"/>
                <w:b/>
              </w:rPr>
              <w:t xml:space="preserve">AND </w:t>
            </w:r>
            <w:r w:rsidR="00C80B8B">
              <w:rPr>
                <w:rFonts w:ascii="Arial" w:hAnsi="Arial" w:cs="Arial"/>
                <w:b/>
              </w:rPr>
              <w:t>OBJECTIVES</w:t>
            </w:r>
            <w:r w:rsidR="006C5449" w:rsidRPr="00DE3D0B">
              <w:rPr>
                <w:rFonts w:ascii="Arial" w:hAnsi="Arial" w:cs="Arial"/>
                <w:b/>
              </w:rPr>
              <w:t xml:space="preserve"> FOR FOLLOWING YEAR:</w:t>
            </w:r>
          </w:p>
        </w:tc>
      </w:tr>
      <w:tr w:rsidR="006C5449" w:rsidRPr="006C5449" w:rsidTr="00DE3D0B">
        <w:trPr>
          <w:trHeight w:val="1979"/>
        </w:trPr>
        <w:tc>
          <w:tcPr>
            <w:tcW w:w="14850" w:type="dxa"/>
          </w:tcPr>
          <w:p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  <w:p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6C5449" w:rsidRPr="006C5449" w:rsidRDefault="006C5449" w:rsidP="006C5449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tbl>
      <w:tblPr>
        <w:tblStyle w:val="TableGrid6"/>
        <w:tblW w:w="14850" w:type="dxa"/>
        <w:tblInd w:w="-162" w:type="dxa"/>
        <w:tblLook w:val="04A0" w:firstRow="1" w:lastRow="0" w:firstColumn="1" w:lastColumn="0" w:noHBand="0" w:noVBand="1"/>
      </w:tblPr>
      <w:tblGrid>
        <w:gridCol w:w="3330"/>
        <w:gridCol w:w="7830"/>
        <w:gridCol w:w="1890"/>
        <w:gridCol w:w="1800"/>
      </w:tblGrid>
      <w:tr w:rsidR="005A1074" w:rsidRPr="006C5449" w:rsidTr="00DE3D0B">
        <w:trPr>
          <w:trHeight w:val="521"/>
        </w:trPr>
        <w:tc>
          <w:tcPr>
            <w:tcW w:w="14850" w:type="dxa"/>
            <w:gridSpan w:val="4"/>
            <w:vAlign w:val="center"/>
          </w:tcPr>
          <w:p w:rsidR="00DE3D0B" w:rsidRDefault="005A1074" w:rsidP="005A10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have reviewed this document and discussed the contents with my supervisor.  </w:t>
            </w:r>
          </w:p>
          <w:p w:rsidR="005A1074" w:rsidRPr="006C5449" w:rsidRDefault="005A1074" w:rsidP="005A10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 signature means that I have been advised of my performance and does no</w:t>
            </w:r>
            <w:r w:rsidR="00DE3D0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imply I agree with the evaluation.</w:t>
            </w:r>
          </w:p>
        </w:tc>
      </w:tr>
      <w:tr w:rsidR="006C5449" w:rsidRPr="006C5449" w:rsidTr="00917B52">
        <w:trPr>
          <w:trHeight w:val="449"/>
        </w:trPr>
        <w:tc>
          <w:tcPr>
            <w:tcW w:w="3330" w:type="dxa"/>
            <w:vAlign w:val="center"/>
          </w:tcPr>
          <w:p w:rsidR="006C5449" w:rsidRPr="006C5449" w:rsidRDefault="006C5449" w:rsidP="009548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 xml:space="preserve">EMPLOYEE </w:t>
            </w:r>
            <w:r w:rsidR="00954807">
              <w:rPr>
                <w:rFonts w:ascii="Arial" w:hAnsi="Arial" w:cs="Arial"/>
                <w:b/>
                <w:sz w:val="20"/>
              </w:rPr>
              <w:t>ACKNOWLEDGEMENT</w:t>
            </w:r>
          </w:p>
        </w:tc>
        <w:tc>
          <w:tcPr>
            <w:tcW w:w="7830" w:type="dxa"/>
            <w:tcBorders>
              <w:right w:val="nil"/>
            </w:tcBorders>
          </w:tcPr>
          <w:p w:rsidR="006C5449" w:rsidRPr="006C5449" w:rsidRDefault="006C5449" w:rsidP="006C54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6C5449" w:rsidRPr="006C5449" w:rsidRDefault="006C5449" w:rsidP="0095480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:rsidR="006C5449" w:rsidRPr="006C5449" w:rsidRDefault="006C5449" w:rsidP="006C5449">
            <w:pPr>
              <w:jc w:val="center"/>
              <w:rPr>
                <w:rFonts w:ascii="Arial" w:hAnsi="Arial" w:cs="Arial"/>
                <w:sz w:val="20"/>
              </w:rPr>
            </w:pP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C5449" w:rsidRPr="006C5449" w:rsidTr="00917B52">
        <w:trPr>
          <w:trHeight w:val="440"/>
        </w:trPr>
        <w:tc>
          <w:tcPr>
            <w:tcW w:w="3330" w:type="dxa"/>
            <w:vAlign w:val="center"/>
          </w:tcPr>
          <w:p w:rsidR="006C5449" w:rsidRPr="006C5449" w:rsidRDefault="006C5449" w:rsidP="006C5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SUPERVISOR SIGNATURE</w:t>
            </w:r>
          </w:p>
        </w:tc>
        <w:tc>
          <w:tcPr>
            <w:tcW w:w="7830" w:type="dxa"/>
            <w:tcBorders>
              <w:right w:val="nil"/>
            </w:tcBorders>
          </w:tcPr>
          <w:p w:rsidR="006C5449" w:rsidRPr="006C5449" w:rsidRDefault="006C5449" w:rsidP="006C54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6C5449" w:rsidRPr="006C5449" w:rsidRDefault="006C5449" w:rsidP="0095480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:rsidR="006C5449" w:rsidRPr="006C5449" w:rsidRDefault="006C5449" w:rsidP="006C5449">
            <w:pPr>
              <w:jc w:val="center"/>
              <w:rPr>
                <w:rFonts w:ascii="Arial" w:hAnsi="Arial" w:cs="Arial"/>
                <w:sz w:val="20"/>
              </w:rPr>
            </w:pP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C5449" w:rsidRPr="006C5449" w:rsidTr="00917B52">
        <w:tc>
          <w:tcPr>
            <w:tcW w:w="3330" w:type="dxa"/>
            <w:vAlign w:val="center"/>
          </w:tcPr>
          <w:p w:rsidR="006C5449" w:rsidRPr="006C5449" w:rsidRDefault="006C5449" w:rsidP="006C5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CHIEF PROBATION OFFICER SIGNATURE</w:t>
            </w:r>
          </w:p>
        </w:tc>
        <w:tc>
          <w:tcPr>
            <w:tcW w:w="7830" w:type="dxa"/>
            <w:tcBorders>
              <w:right w:val="nil"/>
            </w:tcBorders>
          </w:tcPr>
          <w:p w:rsidR="006C5449" w:rsidRPr="006C5449" w:rsidRDefault="006C5449" w:rsidP="006C54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6C5449" w:rsidRPr="006C5449" w:rsidRDefault="006C5449" w:rsidP="0095480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C5449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:rsidR="006C5449" w:rsidRPr="006C5449" w:rsidRDefault="006C5449" w:rsidP="006C5449">
            <w:pPr>
              <w:jc w:val="center"/>
              <w:rPr>
                <w:rFonts w:ascii="Arial" w:hAnsi="Arial" w:cs="Arial"/>
                <w:sz w:val="20"/>
              </w:rPr>
            </w:pP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7"/>
        <w:tblW w:w="14850" w:type="dxa"/>
        <w:tblInd w:w="-162" w:type="dxa"/>
        <w:tblLook w:val="04A0" w:firstRow="1" w:lastRow="0" w:firstColumn="1" w:lastColumn="0" w:noHBand="0" w:noVBand="1"/>
      </w:tblPr>
      <w:tblGrid>
        <w:gridCol w:w="14850"/>
      </w:tblGrid>
      <w:tr w:rsidR="006C5449" w:rsidRPr="006C5449" w:rsidTr="00954807">
        <w:tc>
          <w:tcPr>
            <w:tcW w:w="14850" w:type="dxa"/>
          </w:tcPr>
          <w:p w:rsidR="006C5449" w:rsidRPr="00DE3D0B" w:rsidRDefault="006C5449" w:rsidP="006C5449">
            <w:pPr>
              <w:jc w:val="center"/>
              <w:rPr>
                <w:rFonts w:ascii="Arial" w:hAnsi="Arial" w:cs="Arial"/>
                <w:b/>
              </w:rPr>
            </w:pPr>
            <w:r w:rsidRPr="00DE3D0B">
              <w:rPr>
                <w:rFonts w:ascii="Arial" w:hAnsi="Arial" w:cs="Arial"/>
                <w:b/>
              </w:rPr>
              <w:t>EMPLOYEE COMMENTS</w:t>
            </w:r>
          </w:p>
        </w:tc>
      </w:tr>
      <w:tr w:rsidR="006C5449" w:rsidRPr="006C5449" w:rsidTr="00C24483">
        <w:trPr>
          <w:trHeight w:val="2213"/>
        </w:trPr>
        <w:tc>
          <w:tcPr>
            <w:tcW w:w="14850" w:type="dxa"/>
          </w:tcPr>
          <w:p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instrText xml:space="preserve"> FORMTEXT </w:instrTex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separate"/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noProof/>
                <w:color w:val="000000"/>
                <w:sz w:val="18"/>
                <w:szCs w:val="20"/>
              </w:rPr>
              <w:t> </w:t>
            </w:r>
            <w:r w:rsidRPr="006C5449">
              <w:rPr>
                <w:rFonts w:ascii="Arial" w:hAnsi="Arial" w:cs="Arial"/>
                <w:color w:val="000000"/>
                <w:sz w:val="18"/>
                <w:szCs w:val="20"/>
              </w:rPr>
              <w:fldChar w:fldCharType="end"/>
            </w:r>
          </w:p>
          <w:p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6C5449" w:rsidRDefault="006C5449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77619B" w:rsidRDefault="0077619B" w:rsidP="006C544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6C5449" w:rsidRPr="006C5449" w:rsidRDefault="006C5449" w:rsidP="006C5449">
            <w:pPr>
              <w:rPr>
                <w:rFonts w:ascii="Arial" w:hAnsi="Arial" w:cs="Arial"/>
                <w:sz w:val="18"/>
              </w:rPr>
            </w:pPr>
          </w:p>
        </w:tc>
      </w:tr>
    </w:tbl>
    <w:p w:rsidR="006C5449" w:rsidRDefault="006C5449" w:rsidP="00C24483"/>
    <w:sectPr w:rsidR="006C5449" w:rsidSect="00954807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51A" w:rsidRDefault="000D051A" w:rsidP="006C5449">
      <w:pPr>
        <w:spacing w:after="0" w:line="240" w:lineRule="auto"/>
      </w:pPr>
      <w:r>
        <w:separator/>
      </w:r>
    </w:p>
  </w:endnote>
  <w:endnote w:type="continuationSeparator" w:id="0">
    <w:p w:rsidR="000D051A" w:rsidRDefault="000D051A" w:rsidP="006C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324548"/>
      <w:docPartObj>
        <w:docPartGallery w:val="Page Numbers (Bottom of Page)"/>
        <w:docPartUnique/>
      </w:docPartObj>
    </w:sdtPr>
    <w:sdtContent>
      <w:sdt>
        <w:sdtPr>
          <w:id w:val="95599831"/>
          <w:docPartObj>
            <w:docPartGallery w:val="Page Numbers (Top of Page)"/>
            <w:docPartUnique/>
          </w:docPartObj>
        </w:sdtPr>
        <w:sdtContent>
          <w:p w:rsidR="00E41C2C" w:rsidRDefault="00E41C2C" w:rsidP="00E41C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C6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C6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4807" w:rsidRDefault="00954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C2C" w:rsidRDefault="00E41C2C" w:rsidP="00E41C2C">
    <w:pPr>
      <w:pStyle w:val="Footer"/>
      <w:jc w:val="cen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51A" w:rsidRDefault="000D051A" w:rsidP="006C5449">
      <w:pPr>
        <w:spacing w:after="0" w:line="240" w:lineRule="auto"/>
      </w:pPr>
      <w:r>
        <w:separator/>
      </w:r>
    </w:p>
  </w:footnote>
  <w:footnote w:type="continuationSeparator" w:id="0">
    <w:p w:rsidR="000D051A" w:rsidRDefault="000D051A" w:rsidP="006C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F35" w:rsidRDefault="00CF5F35">
    <w:pPr>
      <w:pStyle w:val="Header"/>
    </w:pPr>
    <w:r>
      <w:t>101917</w:t>
    </w:r>
  </w:p>
  <w:p w:rsidR="0089255C" w:rsidRDefault="0089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EF"/>
    <w:multiLevelType w:val="hybridMultilevel"/>
    <w:tmpl w:val="52B0BA34"/>
    <w:lvl w:ilvl="0" w:tplc="D672607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5914"/>
    <w:multiLevelType w:val="hybridMultilevel"/>
    <w:tmpl w:val="D4C41AF8"/>
    <w:lvl w:ilvl="0" w:tplc="F0F8E2C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7BFA"/>
    <w:multiLevelType w:val="hybridMultilevel"/>
    <w:tmpl w:val="024EC646"/>
    <w:lvl w:ilvl="0" w:tplc="D672607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63B9A"/>
    <w:multiLevelType w:val="hybridMultilevel"/>
    <w:tmpl w:val="5FA49B36"/>
    <w:lvl w:ilvl="0" w:tplc="111CB5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6B5C16"/>
    <w:multiLevelType w:val="hybridMultilevel"/>
    <w:tmpl w:val="E9969CEC"/>
    <w:lvl w:ilvl="0" w:tplc="921A595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8F8"/>
    <w:multiLevelType w:val="hybridMultilevel"/>
    <w:tmpl w:val="77183602"/>
    <w:lvl w:ilvl="0" w:tplc="7046C13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04841"/>
    <w:multiLevelType w:val="hybridMultilevel"/>
    <w:tmpl w:val="698476F6"/>
    <w:lvl w:ilvl="0" w:tplc="1A9422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B5639"/>
    <w:multiLevelType w:val="hybridMultilevel"/>
    <w:tmpl w:val="16F62CE0"/>
    <w:lvl w:ilvl="0" w:tplc="111CB5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24343"/>
    <w:multiLevelType w:val="hybridMultilevel"/>
    <w:tmpl w:val="C5E0DCC4"/>
    <w:lvl w:ilvl="0" w:tplc="E0664E0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A791B"/>
    <w:multiLevelType w:val="hybridMultilevel"/>
    <w:tmpl w:val="41B0602E"/>
    <w:lvl w:ilvl="0" w:tplc="595EF28C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1D73"/>
    <w:multiLevelType w:val="hybridMultilevel"/>
    <w:tmpl w:val="84DC6566"/>
    <w:lvl w:ilvl="0" w:tplc="57D62E8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33408"/>
    <w:multiLevelType w:val="hybridMultilevel"/>
    <w:tmpl w:val="97EA8414"/>
    <w:lvl w:ilvl="0" w:tplc="D672607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2863"/>
    <w:multiLevelType w:val="hybridMultilevel"/>
    <w:tmpl w:val="2068BC40"/>
    <w:lvl w:ilvl="0" w:tplc="111CB5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65149"/>
    <w:multiLevelType w:val="hybridMultilevel"/>
    <w:tmpl w:val="5E2A0300"/>
    <w:lvl w:ilvl="0" w:tplc="111CB5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665916">
    <w:abstractNumId w:val="5"/>
  </w:num>
  <w:num w:numId="2" w16cid:durableId="1208029713">
    <w:abstractNumId w:val="3"/>
  </w:num>
  <w:num w:numId="3" w16cid:durableId="820849580">
    <w:abstractNumId w:val="7"/>
  </w:num>
  <w:num w:numId="4" w16cid:durableId="1052926280">
    <w:abstractNumId w:val="12"/>
  </w:num>
  <w:num w:numId="5" w16cid:durableId="918641639">
    <w:abstractNumId w:val="13"/>
  </w:num>
  <w:num w:numId="6" w16cid:durableId="816192377">
    <w:abstractNumId w:val="8"/>
  </w:num>
  <w:num w:numId="7" w16cid:durableId="1857308104">
    <w:abstractNumId w:val="9"/>
  </w:num>
  <w:num w:numId="8" w16cid:durableId="1719009489">
    <w:abstractNumId w:val="4"/>
  </w:num>
  <w:num w:numId="9" w16cid:durableId="84310400">
    <w:abstractNumId w:val="10"/>
  </w:num>
  <w:num w:numId="10" w16cid:durableId="317657939">
    <w:abstractNumId w:val="6"/>
  </w:num>
  <w:num w:numId="11" w16cid:durableId="2104956502">
    <w:abstractNumId w:val="1"/>
  </w:num>
  <w:num w:numId="12" w16cid:durableId="415246149">
    <w:abstractNumId w:val="0"/>
  </w:num>
  <w:num w:numId="13" w16cid:durableId="1268074202">
    <w:abstractNumId w:val="2"/>
  </w:num>
  <w:num w:numId="14" w16cid:durableId="1775594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49"/>
    <w:rsid w:val="000D051A"/>
    <w:rsid w:val="000F596B"/>
    <w:rsid w:val="0013394C"/>
    <w:rsid w:val="00194136"/>
    <w:rsid w:val="001C1E65"/>
    <w:rsid w:val="001C498B"/>
    <w:rsid w:val="001D7DD5"/>
    <w:rsid w:val="0026255F"/>
    <w:rsid w:val="0028519F"/>
    <w:rsid w:val="003C7A46"/>
    <w:rsid w:val="003F324E"/>
    <w:rsid w:val="00410C14"/>
    <w:rsid w:val="00414C6D"/>
    <w:rsid w:val="004C241A"/>
    <w:rsid w:val="005139B8"/>
    <w:rsid w:val="005A1074"/>
    <w:rsid w:val="005A673D"/>
    <w:rsid w:val="005D5AE7"/>
    <w:rsid w:val="00625BBE"/>
    <w:rsid w:val="006C5449"/>
    <w:rsid w:val="00734710"/>
    <w:rsid w:val="0077619B"/>
    <w:rsid w:val="007F19F2"/>
    <w:rsid w:val="008716D7"/>
    <w:rsid w:val="0089255C"/>
    <w:rsid w:val="00917B52"/>
    <w:rsid w:val="00954807"/>
    <w:rsid w:val="00964FC6"/>
    <w:rsid w:val="00B10E72"/>
    <w:rsid w:val="00B90F06"/>
    <w:rsid w:val="00C13096"/>
    <w:rsid w:val="00C24483"/>
    <w:rsid w:val="00C80B8B"/>
    <w:rsid w:val="00C95202"/>
    <w:rsid w:val="00CA146E"/>
    <w:rsid w:val="00CB496A"/>
    <w:rsid w:val="00CF5F35"/>
    <w:rsid w:val="00D57762"/>
    <w:rsid w:val="00DC7697"/>
    <w:rsid w:val="00DD7721"/>
    <w:rsid w:val="00DE3D0B"/>
    <w:rsid w:val="00E222CB"/>
    <w:rsid w:val="00E41C2C"/>
    <w:rsid w:val="00ED327B"/>
    <w:rsid w:val="00F1013A"/>
    <w:rsid w:val="00FC2802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64F5679-B1BF-4C7A-9DA8-306E8F99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49"/>
  </w:style>
  <w:style w:type="paragraph" w:styleId="Footer">
    <w:name w:val="footer"/>
    <w:basedOn w:val="Normal"/>
    <w:link w:val="FooterChar"/>
    <w:uiPriority w:val="99"/>
    <w:unhideWhenUsed/>
    <w:rsid w:val="006C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49"/>
  </w:style>
  <w:style w:type="paragraph" w:styleId="BalloonText">
    <w:name w:val="Balloon Text"/>
    <w:basedOn w:val="Normal"/>
    <w:link w:val="BalloonTextChar"/>
    <w:uiPriority w:val="99"/>
    <w:semiHidden/>
    <w:unhideWhenUsed/>
    <w:rsid w:val="006C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6C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340E-B1F8-4775-B723-88CA0B42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Courts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Berner,Katie;David.Evrard@alleghenycourts.us</dc:creator>
  <cp:lastModifiedBy>Nixon, Chris</cp:lastModifiedBy>
  <cp:revision>2</cp:revision>
  <cp:lastPrinted>2015-09-16T14:04:00Z</cp:lastPrinted>
  <dcterms:created xsi:type="dcterms:W3CDTF">2025-01-06T18:57:00Z</dcterms:created>
  <dcterms:modified xsi:type="dcterms:W3CDTF">2025-01-06T18:57:00Z</dcterms:modified>
</cp:coreProperties>
</file>